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26EEB" w14:textId="070CAF2D" w:rsidR="00DC084B" w:rsidRPr="00D474A7" w:rsidRDefault="00DC084B" w:rsidP="00034052">
      <w:pPr>
        <w:jc w:val="right"/>
        <w:rPr>
          <w:b/>
          <w:bCs/>
          <w:sz w:val="24"/>
          <w:szCs w:val="24"/>
        </w:rPr>
      </w:pPr>
      <w:r w:rsidRPr="00D474A7">
        <w:rPr>
          <w:b/>
          <w:bCs/>
          <w:sz w:val="24"/>
          <w:szCs w:val="24"/>
        </w:rPr>
        <w:t xml:space="preserve">Title: Response Repairs Policy  </w:t>
      </w:r>
    </w:p>
    <w:p w14:paraId="57E616B8" w14:textId="77777777" w:rsidR="00DC084B" w:rsidRPr="00D474A7" w:rsidRDefault="00DC084B" w:rsidP="00034052">
      <w:pPr>
        <w:jc w:val="right"/>
        <w:rPr>
          <w:b/>
          <w:bCs/>
          <w:sz w:val="24"/>
          <w:szCs w:val="24"/>
        </w:rPr>
      </w:pPr>
      <w:r w:rsidRPr="00D474A7">
        <w:rPr>
          <w:b/>
          <w:bCs/>
          <w:sz w:val="24"/>
          <w:szCs w:val="24"/>
        </w:rPr>
        <w:t>Author: Jez Morris</w:t>
      </w:r>
    </w:p>
    <w:p w14:paraId="31027985" w14:textId="4D9CA563" w:rsidR="00DC084B" w:rsidRPr="00D474A7" w:rsidRDefault="00DC084B" w:rsidP="00034052">
      <w:pPr>
        <w:jc w:val="right"/>
        <w:rPr>
          <w:b/>
          <w:bCs/>
          <w:sz w:val="24"/>
          <w:szCs w:val="24"/>
        </w:rPr>
      </w:pPr>
      <w:r w:rsidRPr="00D474A7">
        <w:rPr>
          <w:b/>
          <w:bCs/>
          <w:sz w:val="24"/>
          <w:szCs w:val="24"/>
        </w:rPr>
        <w:t xml:space="preserve">Version: </w:t>
      </w:r>
      <w:r w:rsidR="00654979">
        <w:rPr>
          <w:b/>
          <w:bCs/>
          <w:sz w:val="24"/>
          <w:szCs w:val="24"/>
        </w:rPr>
        <w:t>2</w:t>
      </w:r>
      <w:r w:rsidRPr="00D474A7">
        <w:rPr>
          <w:b/>
          <w:bCs/>
          <w:sz w:val="24"/>
          <w:szCs w:val="24"/>
        </w:rPr>
        <w:t>.0</w:t>
      </w:r>
    </w:p>
    <w:p w14:paraId="46FCB3A4" w14:textId="43D9727B" w:rsidR="00DC084B" w:rsidRPr="00D474A7" w:rsidRDefault="00DC084B" w:rsidP="00034052">
      <w:pPr>
        <w:jc w:val="right"/>
        <w:rPr>
          <w:b/>
          <w:bCs/>
          <w:sz w:val="24"/>
          <w:szCs w:val="24"/>
        </w:rPr>
      </w:pPr>
      <w:r w:rsidRPr="00D474A7">
        <w:rPr>
          <w:b/>
          <w:bCs/>
          <w:sz w:val="24"/>
          <w:szCs w:val="24"/>
        </w:rPr>
        <w:t xml:space="preserve">Date: </w:t>
      </w:r>
      <w:r w:rsidR="00D74695">
        <w:rPr>
          <w:b/>
          <w:bCs/>
          <w:sz w:val="24"/>
          <w:szCs w:val="24"/>
        </w:rPr>
        <w:t>Ma</w:t>
      </w:r>
      <w:r w:rsidR="00654979">
        <w:rPr>
          <w:b/>
          <w:bCs/>
          <w:sz w:val="24"/>
          <w:szCs w:val="24"/>
        </w:rPr>
        <w:t>y</w:t>
      </w:r>
      <w:r w:rsidRPr="00D474A7">
        <w:rPr>
          <w:b/>
          <w:bCs/>
          <w:sz w:val="24"/>
          <w:szCs w:val="24"/>
        </w:rPr>
        <w:t xml:space="preserve"> 2025</w:t>
      </w:r>
    </w:p>
    <w:p w14:paraId="678469A0" w14:textId="1FE3C24E" w:rsidR="00DC084B" w:rsidRPr="00D474A7" w:rsidRDefault="00DC084B" w:rsidP="00034052">
      <w:pPr>
        <w:jc w:val="right"/>
        <w:rPr>
          <w:b/>
          <w:bCs/>
          <w:sz w:val="24"/>
          <w:szCs w:val="24"/>
        </w:rPr>
      </w:pPr>
      <w:r w:rsidRPr="00D474A7">
        <w:rPr>
          <w:b/>
          <w:bCs/>
          <w:sz w:val="24"/>
          <w:szCs w:val="24"/>
        </w:rPr>
        <w:t xml:space="preserve">Date of review: </w:t>
      </w:r>
      <w:r w:rsidR="00D74695">
        <w:rPr>
          <w:b/>
          <w:bCs/>
          <w:sz w:val="24"/>
          <w:szCs w:val="24"/>
        </w:rPr>
        <w:t>Ma</w:t>
      </w:r>
      <w:r w:rsidR="00654979">
        <w:rPr>
          <w:b/>
          <w:bCs/>
          <w:sz w:val="24"/>
          <w:szCs w:val="24"/>
        </w:rPr>
        <w:t>y</w:t>
      </w:r>
      <w:r w:rsidRPr="00D474A7">
        <w:rPr>
          <w:b/>
          <w:bCs/>
          <w:sz w:val="24"/>
          <w:szCs w:val="24"/>
        </w:rPr>
        <w:t xml:space="preserve"> 2028 </w:t>
      </w:r>
    </w:p>
    <w:p w14:paraId="5DD5112A" w14:textId="1CD06938" w:rsidR="00DC084B" w:rsidRPr="00D474A7" w:rsidRDefault="00DC084B" w:rsidP="00034052">
      <w:pPr>
        <w:jc w:val="right"/>
        <w:rPr>
          <w:b/>
          <w:bCs/>
          <w:sz w:val="24"/>
          <w:szCs w:val="24"/>
        </w:rPr>
      </w:pPr>
      <w:r w:rsidRPr="00D474A7">
        <w:rPr>
          <w:b/>
          <w:bCs/>
          <w:sz w:val="24"/>
          <w:szCs w:val="24"/>
        </w:rPr>
        <w:t xml:space="preserve">Approved by Committee date: </w:t>
      </w:r>
      <w:r w:rsidR="0002099F">
        <w:rPr>
          <w:b/>
          <w:bCs/>
          <w:sz w:val="24"/>
          <w:szCs w:val="24"/>
        </w:rPr>
        <w:t>28 May 2025</w:t>
      </w:r>
      <w:r w:rsidRPr="00D474A7">
        <w:rPr>
          <w:b/>
          <w:bCs/>
          <w:sz w:val="24"/>
          <w:szCs w:val="24"/>
        </w:rPr>
        <w:t xml:space="preserve"> </w:t>
      </w:r>
    </w:p>
    <w:sdt>
      <w:sdtPr>
        <w:rPr>
          <w:rFonts w:asciiTheme="minorHAnsi" w:eastAsiaTheme="minorHAnsi" w:hAnsiTheme="minorHAnsi" w:cstheme="minorBidi"/>
          <w:color w:val="auto"/>
          <w:kern w:val="2"/>
          <w:sz w:val="22"/>
          <w:szCs w:val="22"/>
          <w:lang w:val="en-GB"/>
          <w14:ligatures w14:val="standardContextual"/>
        </w:rPr>
        <w:id w:val="-2091614475"/>
        <w:docPartObj>
          <w:docPartGallery w:val="Table of Contents"/>
          <w:docPartUnique/>
        </w:docPartObj>
      </w:sdtPr>
      <w:sdtEndPr>
        <w:rPr>
          <w:noProof/>
        </w:rPr>
      </w:sdtEndPr>
      <w:sdtContent>
        <w:p w14:paraId="09701621" w14:textId="5309FFE2" w:rsidR="00DC084B" w:rsidRDefault="00DC084B" w:rsidP="003C4B16">
          <w:pPr>
            <w:pStyle w:val="TOCHeading"/>
            <w:jc w:val="both"/>
          </w:pPr>
          <w:r w:rsidRPr="00DC084B">
            <w:t>Contents</w:t>
          </w:r>
        </w:p>
        <w:p w14:paraId="00DE1DD8" w14:textId="1D5118A9" w:rsidR="00773903" w:rsidRDefault="00DC084B">
          <w:pPr>
            <w:pStyle w:val="TOC1"/>
            <w:tabs>
              <w:tab w:val="left" w:pos="480"/>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200007140" w:history="1">
            <w:r w:rsidR="00773903" w:rsidRPr="0004735B">
              <w:rPr>
                <w:rStyle w:val="Hyperlink"/>
                <w:noProof/>
              </w:rPr>
              <w:t>1.</w:t>
            </w:r>
            <w:r w:rsidR="00773903">
              <w:rPr>
                <w:rFonts w:eastAsiaTheme="minorEastAsia"/>
                <w:noProof/>
                <w:sz w:val="24"/>
                <w:szCs w:val="24"/>
                <w:lang w:eastAsia="en-GB"/>
              </w:rPr>
              <w:tab/>
            </w:r>
            <w:r w:rsidR="00773903" w:rsidRPr="0004735B">
              <w:rPr>
                <w:rStyle w:val="Hyperlink"/>
                <w:noProof/>
              </w:rPr>
              <w:t>Purpose and aim of the Policy</w:t>
            </w:r>
            <w:r w:rsidR="00773903">
              <w:rPr>
                <w:noProof/>
                <w:webHidden/>
              </w:rPr>
              <w:tab/>
            </w:r>
            <w:r w:rsidR="00773903">
              <w:rPr>
                <w:noProof/>
                <w:webHidden/>
              </w:rPr>
              <w:fldChar w:fldCharType="begin"/>
            </w:r>
            <w:r w:rsidR="00773903">
              <w:rPr>
                <w:noProof/>
                <w:webHidden/>
              </w:rPr>
              <w:instrText xml:space="preserve"> PAGEREF _Toc200007140 \h </w:instrText>
            </w:r>
            <w:r w:rsidR="00773903">
              <w:rPr>
                <w:noProof/>
                <w:webHidden/>
              </w:rPr>
            </w:r>
            <w:r w:rsidR="00773903">
              <w:rPr>
                <w:noProof/>
                <w:webHidden/>
              </w:rPr>
              <w:fldChar w:fldCharType="separate"/>
            </w:r>
            <w:r w:rsidR="00773903">
              <w:rPr>
                <w:noProof/>
                <w:webHidden/>
              </w:rPr>
              <w:t>2</w:t>
            </w:r>
            <w:r w:rsidR="00773903">
              <w:rPr>
                <w:noProof/>
                <w:webHidden/>
              </w:rPr>
              <w:fldChar w:fldCharType="end"/>
            </w:r>
          </w:hyperlink>
        </w:p>
        <w:p w14:paraId="642B9C24" w14:textId="69A4F2E7" w:rsidR="00773903" w:rsidRDefault="00773903">
          <w:pPr>
            <w:pStyle w:val="TOC1"/>
            <w:tabs>
              <w:tab w:val="left" w:pos="480"/>
              <w:tab w:val="right" w:leader="dot" w:pos="9016"/>
            </w:tabs>
            <w:rPr>
              <w:rFonts w:eastAsiaTheme="minorEastAsia"/>
              <w:noProof/>
              <w:sz w:val="24"/>
              <w:szCs w:val="24"/>
              <w:lang w:eastAsia="en-GB"/>
            </w:rPr>
          </w:pPr>
          <w:hyperlink w:anchor="_Toc200007141" w:history="1">
            <w:r w:rsidRPr="0004735B">
              <w:rPr>
                <w:rStyle w:val="Hyperlink"/>
                <w:noProof/>
              </w:rPr>
              <w:t>2.</w:t>
            </w:r>
            <w:r>
              <w:rPr>
                <w:rFonts w:eastAsiaTheme="minorEastAsia"/>
                <w:noProof/>
                <w:sz w:val="24"/>
                <w:szCs w:val="24"/>
                <w:lang w:eastAsia="en-GB"/>
              </w:rPr>
              <w:tab/>
            </w:r>
            <w:r w:rsidRPr="0004735B">
              <w:rPr>
                <w:rStyle w:val="Hyperlink"/>
                <w:noProof/>
              </w:rPr>
              <w:t>Key policy objectives</w:t>
            </w:r>
            <w:r>
              <w:rPr>
                <w:noProof/>
                <w:webHidden/>
              </w:rPr>
              <w:tab/>
            </w:r>
            <w:r>
              <w:rPr>
                <w:noProof/>
                <w:webHidden/>
              </w:rPr>
              <w:fldChar w:fldCharType="begin"/>
            </w:r>
            <w:r>
              <w:rPr>
                <w:noProof/>
                <w:webHidden/>
              </w:rPr>
              <w:instrText xml:space="preserve"> PAGEREF _Toc200007141 \h </w:instrText>
            </w:r>
            <w:r>
              <w:rPr>
                <w:noProof/>
                <w:webHidden/>
              </w:rPr>
            </w:r>
            <w:r>
              <w:rPr>
                <w:noProof/>
                <w:webHidden/>
              </w:rPr>
              <w:fldChar w:fldCharType="separate"/>
            </w:r>
            <w:r>
              <w:rPr>
                <w:noProof/>
                <w:webHidden/>
              </w:rPr>
              <w:t>2</w:t>
            </w:r>
            <w:r>
              <w:rPr>
                <w:noProof/>
                <w:webHidden/>
              </w:rPr>
              <w:fldChar w:fldCharType="end"/>
            </w:r>
          </w:hyperlink>
        </w:p>
        <w:p w14:paraId="78120584" w14:textId="535166B1" w:rsidR="00773903" w:rsidRDefault="00773903">
          <w:pPr>
            <w:pStyle w:val="TOC1"/>
            <w:tabs>
              <w:tab w:val="left" w:pos="480"/>
              <w:tab w:val="right" w:leader="dot" w:pos="9016"/>
            </w:tabs>
            <w:rPr>
              <w:rFonts w:eastAsiaTheme="minorEastAsia"/>
              <w:noProof/>
              <w:sz w:val="24"/>
              <w:szCs w:val="24"/>
              <w:lang w:eastAsia="en-GB"/>
            </w:rPr>
          </w:pPr>
          <w:hyperlink w:anchor="_Toc200007142" w:history="1">
            <w:r w:rsidRPr="0004735B">
              <w:rPr>
                <w:rStyle w:val="Hyperlink"/>
                <w:noProof/>
              </w:rPr>
              <w:t>3.</w:t>
            </w:r>
            <w:r>
              <w:rPr>
                <w:rFonts w:eastAsiaTheme="minorEastAsia"/>
                <w:noProof/>
                <w:sz w:val="24"/>
                <w:szCs w:val="24"/>
                <w:lang w:eastAsia="en-GB"/>
              </w:rPr>
              <w:tab/>
            </w:r>
            <w:r w:rsidRPr="0004735B">
              <w:rPr>
                <w:rStyle w:val="Hyperlink"/>
                <w:noProof/>
              </w:rPr>
              <w:t>Legal and regulatory requirements</w:t>
            </w:r>
            <w:r>
              <w:rPr>
                <w:noProof/>
                <w:webHidden/>
              </w:rPr>
              <w:tab/>
            </w:r>
            <w:r>
              <w:rPr>
                <w:noProof/>
                <w:webHidden/>
              </w:rPr>
              <w:fldChar w:fldCharType="begin"/>
            </w:r>
            <w:r>
              <w:rPr>
                <w:noProof/>
                <w:webHidden/>
              </w:rPr>
              <w:instrText xml:space="preserve"> PAGEREF _Toc200007142 \h </w:instrText>
            </w:r>
            <w:r>
              <w:rPr>
                <w:noProof/>
                <w:webHidden/>
              </w:rPr>
            </w:r>
            <w:r>
              <w:rPr>
                <w:noProof/>
                <w:webHidden/>
              </w:rPr>
              <w:fldChar w:fldCharType="separate"/>
            </w:r>
            <w:r>
              <w:rPr>
                <w:noProof/>
                <w:webHidden/>
              </w:rPr>
              <w:t>2</w:t>
            </w:r>
            <w:r>
              <w:rPr>
                <w:noProof/>
                <w:webHidden/>
              </w:rPr>
              <w:fldChar w:fldCharType="end"/>
            </w:r>
          </w:hyperlink>
        </w:p>
        <w:p w14:paraId="666A8898" w14:textId="705B0FC7" w:rsidR="00773903" w:rsidRDefault="00773903">
          <w:pPr>
            <w:pStyle w:val="TOC1"/>
            <w:tabs>
              <w:tab w:val="left" w:pos="480"/>
              <w:tab w:val="right" w:leader="dot" w:pos="9016"/>
            </w:tabs>
            <w:rPr>
              <w:rFonts w:eastAsiaTheme="minorEastAsia"/>
              <w:noProof/>
              <w:sz w:val="24"/>
              <w:szCs w:val="24"/>
              <w:lang w:eastAsia="en-GB"/>
            </w:rPr>
          </w:pPr>
          <w:hyperlink w:anchor="_Toc200007143" w:history="1">
            <w:r w:rsidRPr="0004735B">
              <w:rPr>
                <w:rStyle w:val="Hyperlink"/>
                <w:noProof/>
              </w:rPr>
              <w:t>4.</w:t>
            </w:r>
            <w:r>
              <w:rPr>
                <w:rFonts w:eastAsiaTheme="minorEastAsia"/>
                <w:noProof/>
                <w:sz w:val="24"/>
                <w:szCs w:val="24"/>
                <w:lang w:eastAsia="en-GB"/>
              </w:rPr>
              <w:tab/>
            </w:r>
            <w:r w:rsidRPr="0004735B">
              <w:rPr>
                <w:rStyle w:val="Hyperlink"/>
                <w:noProof/>
              </w:rPr>
              <w:t>Responsive repairs service standards</w:t>
            </w:r>
            <w:r>
              <w:rPr>
                <w:noProof/>
                <w:webHidden/>
              </w:rPr>
              <w:tab/>
            </w:r>
            <w:r>
              <w:rPr>
                <w:noProof/>
                <w:webHidden/>
              </w:rPr>
              <w:fldChar w:fldCharType="begin"/>
            </w:r>
            <w:r>
              <w:rPr>
                <w:noProof/>
                <w:webHidden/>
              </w:rPr>
              <w:instrText xml:space="preserve"> PAGEREF _Toc200007143 \h </w:instrText>
            </w:r>
            <w:r>
              <w:rPr>
                <w:noProof/>
                <w:webHidden/>
              </w:rPr>
            </w:r>
            <w:r>
              <w:rPr>
                <w:noProof/>
                <w:webHidden/>
              </w:rPr>
              <w:fldChar w:fldCharType="separate"/>
            </w:r>
            <w:r>
              <w:rPr>
                <w:noProof/>
                <w:webHidden/>
              </w:rPr>
              <w:t>2</w:t>
            </w:r>
            <w:r>
              <w:rPr>
                <w:noProof/>
                <w:webHidden/>
              </w:rPr>
              <w:fldChar w:fldCharType="end"/>
            </w:r>
          </w:hyperlink>
        </w:p>
        <w:p w14:paraId="200721F0" w14:textId="77046F89" w:rsidR="00773903" w:rsidRDefault="00773903">
          <w:pPr>
            <w:pStyle w:val="TOC1"/>
            <w:tabs>
              <w:tab w:val="left" w:pos="480"/>
              <w:tab w:val="right" w:leader="dot" w:pos="9016"/>
            </w:tabs>
            <w:rPr>
              <w:rFonts w:eastAsiaTheme="minorEastAsia"/>
              <w:noProof/>
              <w:sz w:val="24"/>
              <w:szCs w:val="24"/>
              <w:lang w:eastAsia="en-GB"/>
            </w:rPr>
          </w:pPr>
          <w:hyperlink w:anchor="_Toc200007144" w:history="1">
            <w:r w:rsidRPr="0004735B">
              <w:rPr>
                <w:rStyle w:val="Hyperlink"/>
                <w:noProof/>
              </w:rPr>
              <w:t>5.</w:t>
            </w:r>
            <w:r>
              <w:rPr>
                <w:rFonts w:eastAsiaTheme="minorEastAsia"/>
                <w:noProof/>
                <w:sz w:val="24"/>
                <w:szCs w:val="24"/>
                <w:lang w:eastAsia="en-GB"/>
              </w:rPr>
              <w:tab/>
            </w:r>
            <w:r w:rsidRPr="0004735B">
              <w:rPr>
                <w:rStyle w:val="Hyperlink"/>
                <w:noProof/>
              </w:rPr>
              <w:t>Inspections</w:t>
            </w:r>
            <w:r>
              <w:rPr>
                <w:noProof/>
                <w:webHidden/>
              </w:rPr>
              <w:tab/>
            </w:r>
            <w:r>
              <w:rPr>
                <w:noProof/>
                <w:webHidden/>
              </w:rPr>
              <w:fldChar w:fldCharType="begin"/>
            </w:r>
            <w:r>
              <w:rPr>
                <w:noProof/>
                <w:webHidden/>
              </w:rPr>
              <w:instrText xml:space="preserve"> PAGEREF _Toc200007144 \h </w:instrText>
            </w:r>
            <w:r>
              <w:rPr>
                <w:noProof/>
                <w:webHidden/>
              </w:rPr>
            </w:r>
            <w:r>
              <w:rPr>
                <w:noProof/>
                <w:webHidden/>
              </w:rPr>
              <w:fldChar w:fldCharType="separate"/>
            </w:r>
            <w:r>
              <w:rPr>
                <w:noProof/>
                <w:webHidden/>
              </w:rPr>
              <w:t>3</w:t>
            </w:r>
            <w:r>
              <w:rPr>
                <w:noProof/>
                <w:webHidden/>
              </w:rPr>
              <w:fldChar w:fldCharType="end"/>
            </w:r>
          </w:hyperlink>
        </w:p>
        <w:p w14:paraId="4CADAB2F" w14:textId="7A11D19D" w:rsidR="00773903" w:rsidRDefault="00773903">
          <w:pPr>
            <w:pStyle w:val="TOC1"/>
            <w:tabs>
              <w:tab w:val="left" w:pos="480"/>
              <w:tab w:val="right" w:leader="dot" w:pos="9016"/>
            </w:tabs>
            <w:rPr>
              <w:rFonts w:eastAsiaTheme="minorEastAsia"/>
              <w:noProof/>
              <w:sz w:val="24"/>
              <w:szCs w:val="24"/>
              <w:lang w:eastAsia="en-GB"/>
            </w:rPr>
          </w:pPr>
          <w:hyperlink w:anchor="_Toc200007145" w:history="1">
            <w:r w:rsidRPr="0004735B">
              <w:rPr>
                <w:rStyle w:val="Hyperlink"/>
                <w:noProof/>
              </w:rPr>
              <w:t>6.</w:t>
            </w:r>
            <w:r>
              <w:rPr>
                <w:rFonts w:eastAsiaTheme="minorEastAsia"/>
                <w:noProof/>
                <w:sz w:val="24"/>
                <w:szCs w:val="24"/>
                <w:lang w:eastAsia="en-GB"/>
              </w:rPr>
              <w:tab/>
            </w:r>
            <w:r w:rsidRPr="0004735B">
              <w:rPr>
                <w:rStyle w:val="Hyperlink"/>
                <w:noProof/>
              </w:rPr>
              <w:t>Resident responsibilities</w:t>
            </w:r>
            <w:r>
              <w:rPr>
                <w:noProof/>
                <w:webHidden/>
              </w:rPr>
              <w:tab/>
            </w:r>
            <w:r>
              <w:rPr>
                <w:noProof/>
                <w:webHidden/>
              </w:rPr>
              <w:fldChar w:fldCharType="begin"/>
            </w:r>
            <w:r>
              <w:rPr>
                <w:noProof/>
                <w:webHidden/>
              </w:rPr>
              <w:instrText xml:space="preserve"> PAGEREF _Toc200007145 \h </w:instrText>
            </w:r>
            <w:r>
              <w:rPr>
                <w:noProof/>
                <w:webHidden/>
              </w:rPr>
            </w:r>
            <w:r>
              <w:rPr>
                <w:noProof/>
                <w:webHidden/>
              </w:rPr>
              <w:fldChar w:fldCharType="separate"/>
            </w:r>
            <w:r>
              <w:rPr>
                <w:noProof/>
                <w:webHidden/>
              </w:rPr>
              <w:t>4</w:t>
            </w:r>
            <w:r>
              <w:rPr>
                <w:noProof/>
                <w:webHidden/>
              </w:rPr>
              <w:fldChar w:fldCharType="end"/>
            </w:r>
          </w:hyperlink>
        </w:p>
        <w:p w14:paraId="3D8D105A" w14:textId="51CEC6CB" w:rsidR="00773903" w:rsidRDefault="00773903">
          <w:pPr>
            <w:pStyle w:val="TOC1"/>
            <w:tabs>
              <w:tab w:val="left" w:pos="480"/>
              <w:tab w:val="right" w:leader="dot" w:pos="9016"/>
            </w:tabs>
            <w:rPr>
              <w:rFonts w:eastAsiaTheme="minorEastAsia"/>
              <w:noProof/>
              <w:sz w:val="24"/>
              <w:szCs w:val="24"/>
              <w:lang w:eastAsia="en-GB"/>
            </w:rPr>
          </w:pPr>
          <w:hyperlink w:anchor="_Toc200007146" w:history="1">
            <w:r w:rsidRPr="0004735B">
              <w:rPr>
                <w:rStyle w:val="Hyperlink"/>
                <w:noProof/>
              </w:rPr>
              <w:t>7.</w:t>
            </w:r>
            <w:r>
              <w:rPr>
                <w:rFonts w:eastAsiaTheme="minorEastAsia"/>
                <w:noProof/>
                <w:sz w:val="24"/>
                <w:szCs w:val="24"/>
                <w:lang w:eastAsia="en-GB"/>
              </w:rPr>
              <w:tab/>
            </w:r>
            <w:r w:rsidRPr="0004735B">
              <w:rPr>
                <w:rStyle w:val="Hyperlink"/>
                <w:noProof/>
              </w:rPr>
              <w:t>Rechargeable repairs</w:t>
            </w:r>
            <w:r>
              <w:rPr>
                <w:noProof/>
                <w:webHidden/>
              </w:rPr>
              <w:tab/>
            </w:r>
            <w:r>
              <w:rPr>
                <w:noProof/>
                <w:webHidden/>
              </w:rPr>
              <w:fldChar w:fldCharType="begin"/>
            </w:r>
            <w:r>
              <w:rPr>
                <w:noProof/>
                <w:webHidden/>
              </w:rPr>
              <w:instrText xml:space="preserve"> PAGEREF _Toc200007146 \h </w:instrText>
            </w:r>
            <w:r>
              <w:rPr>
                <w:noProof/>
                <w:webHidden/>
              </w:rPr>
            </w:r>
            <w:r>
              <w:rPr>
                <w:noProof/>
                <w:webHidden/>
              </w:rPr>
              <w:fldChar w:fldCharType="separate"/>
            </w:r>
            <w:r>
              <w:rPr>
                <w:noProof/>
                <w:webHidden/>
              </w:rPr>
              <w:t>4</w:t>
            </w:r>
            <w:r>
              <w:rPr>
                <w:noProof/>
                <w:webHidden/>
              </w:rPr>
              <w:fldChar w:fldCharType="end"/>
            </w:r>
          </w:hyperlink>
        </w:p>
        <w:p w14:paraId="67B92436" w14:textId="078C0608" w:rsidR="00773903" w:rsidRDefault="00773903">
          <w:pPr>
            <w:pStyle w:val="TOC1"/>
            <w:tabs>
              <w:tab w:val="left" w:pos="480"/>
              <w:tab w:val="right" w:leader="dot" w:pos="9016"/>
            </w:tabs>
            <w:rPr>
              <w:rFonts w:eastAsiaTheme="minorEastAsia"/>
              <w:noProof/>
              <w:sz w:val="24"/>
              <w:szCs w:val="24"/>
              <w:lang w:eastAsia="en-GB"/>
            </w:rPr>
          </w:pPr>
          <w:hyperlink w:anchor="_Toc200007147" w:history="1">
            <w:r w:rsidRPr="0004735B">
              <w:rPr>
                <w:rStyle w:val="Hyperlink"/>
                <w:noProof/>
              </w:rPr>
              <w:t>8.</w:t>
            </w:r>
            <w:r>
              <w:rPr>
                <w:rFonts w:eastAsiaTheme="minorEastAsia"/>
                <w:noProof/>
                <w:sz w:val="24"/>
                <w:szCs w:val="24"/>
                <w:lang w:eastAsia="en-GB"/>
              </w:rPr>
              <w:tab/>
            </w:r>
            <w:r w:rsidRPr="0004735B">
              <w:rPr>
                <w:rStyle w:val="Hyperlink"/>
                <w:noProof/>
              </w:rPr>
              <w:t>Improvements and alterations</w:t>
            </w:r>
            <w:r>
              <w:rPr>
                <w:noProof/>
                <w:webHidden/>
              </w:rPr>
              <w:tab/>
            </w:r>
            <w:r>
              <w:rPr>
                <w:noProof/>
                <w:webHidden/>
              </w:rPr>
              <w:fldChar w:fldCharType="begin"/>
            </w:r>
            <w:r>
              <w:rPr>
                <w:noProof/>
                <w:webHidden/>
              </w:rPr>
              <w:instrText xml:space="preserve"> PAGEREF _Toc200007147 \h </w:instrText>
            </w:r>
            <w:r>
              <w:rPr>
                <w:noProof/>
                <w:webHidden/>
              </w:rPr>
            </w:r>
            <w:r>
              <w:rPr>
                <w:noProof/>
                <w:webHidden/>
              </w:rPr>
              <w:fldChar w:fldCharType="separate"/>
            </w:r>
            <w:r>
              <w:rPr>
                <w:noProof/>
                <w:webHidden/>
              </w:rPr>
              <w:t>4</w:t>
            </w:r>
            <w:r>
              <w:rPr>
                <w:noProof/>
                <w:webHidden/>
              </w:rPr>
              <w:fldChar w:fldCharType="end"/>
            </w:r>
          </w:hyperlink>
        </w:p>
        <w:p w14:paraId="44AF0B73" w14:textId="4987C44C" w:rsidR="00773903" w:rsidRDefault="00773903">
          <w:pPr>
            <w:pStyle w:val="TOC1"/>
            <w:tabs>
              <w:tab w:val="left" w:pos="480"/>
              <w:tab w:val="right" w:leader="dot" w:pos="9016"/>
            </w:tabs>
            <w:rPr>
              <w:rFonts w:eastAsiaTheme="minorEastAsia"/>
              <w:noProof/>
              <w:sz w:val="24"/>
              <w:szCs w:val="24"/>
              <w:lang w:eastAsia="en-GB"/>
            </w:rPr>
          </w:pPr>
          <w:hyperlink w:anchor="_Toc200007148" w:history="1">
            <w:r w:rsidRPr="0004735B">
              <w:rPr>
                <w:rStyle w:val="Hyperlink"/>
                <w:noProof/>
              </w:rPr>
              <w:t>9.</w:t>
            </w:r>
            <w:r>
              <w:rPr>
                <w:rFonts w:eastAsiaTheme="minorEastAsia"/>
                <w:noProof/>
                <w:sz w:val="24"/>
                <w:szCs w:val="24"/>
                <w:lang w:eastAsia="en-GB"/>
              </w:rPr>
              <w:tab/>
            </w:r>
            <w:r w:rsidRPr="0004735B">
              <w:rPr>
                <w:rStyle w:val="Hyperlink"/>
                <w:noProof/>
              </w:rPr>
              <w:t>Probity and value for money</w:t>
            </w:r>
            <w:r>
              <w:rPr>
                <w:noProof/>
                <w:webHidden/>
              </w:rPr>
              <w:tab/>
            </w:r>
            <w:r>
              <w:rPr>
                <w:noProof/>
                <w:webHidden/>
              </w:rPr>
              <w:fldChar w:fldCharType="begin"/>
            </w:r>
            <w:r>
              <w:rPr>
                <w:noProof/>
                <w:webHidden/>
              </w:rPr>
              <w:instrText xml:space="preserve"> PAGEREF _Toc200007148 \h </w:instrText>
            </w:r>
            <w:r>
              <w:rPr>
                <w:noProof/>
                <w:webHidden/>
              </w:rPr>
            </w:r>
            <w:r>
              <w:rPr>
                <w:noProof/>
                <w:webHidden/>
              </w:rPr>
              <w:fldChar w:fldCharType="separate"/>
            </w:r>
            <w:r>
              <w:rPr>
                <w:noProof/>
                <w:webHidden/>
              </w:rPr>
              <w:t>5</w:t>
            </w:r>
            <w:r>
              <w:rPr>
                <w:noProof/>
                <w:webHidden/>
              </w:rPr>
              <w:fldChar w:fldCharType="end"/>
            </w:r>
          </w:hyperlink>
        </w:p>
        <w:p w14:paraId="0A5720D5" w14:textId="3CF41538" w:rsidR="00773903" w:rsidRDefault="00773903">
          <w:pPr>
            <w:pStyle w:val="TOC1"/>
            <w:tabs>
              <w:tab w:val="left" w:pos="720"/>
              <w:tab w:val="right" w:leader="dot" w:pos="9016"/>
            </w:tabs>
            <w:rPr>
              <w:rFonts w:eastAsiaTheme="minorEastAsia"/>
              <w:noProof/>
              <w:sz w:val="24"/>
              <w:szCs w:val="24"/>
              <w:lang w:eastAsia="en-GB"/>
            </w:rPr>
          </w:pPr>
          <w:hyperlink w:anchor="_Toc200007149" w:history="1">
            <w:r w:rsidRPr="0004735B">
              <w:rPr>
                <w:rStyle w:val="Hyperlink"/>
                <w:noProof/>
              </w:rPr>
              <w:t>10.</w:t>
            </w:r>
            <w:r>
              <w:rPr>
                <w:rFonts w:eastAsiaTheme="minorEastAsia"/>
                <w:noProof/>
                <w:sz w:val="24"/>
                <w:szCs w:val="24"/>
                <w:lang w:eastAsia="en-GB"/>
              </w:rPr>
              <w:tab/>
            </w:r>
            <w:r w:rsidRPr="0004735B">
              <w:rPr>
                <w:rStyle w:val="Hyperlink"/>
                <w:noProof/>
              </w:rPr>
              <w:t>Equality and diversity</w:t>
            </w:r>
            <w:r>
              <w:rPr>
                <w:noProof/>
                <w:webHidden/>
              </w:rPr>
              <w:tab/>
            </w:r>
            <w:r>
              <w:rPr>
                <w:noProof/>
                <w:webHidden/>
              </w:rPr>
              <w:fldChar w:fldCharType="begin"/>
            </w:r>
            <w:r>
              <w:rPr>
                <w:noProof/>
                <w:webHidden/>
              </w:rPr>
              <w:instrText xml:space="preserve"> PAGEREF _Toc200007149 \h </w:instrText>
            </w:r>
            <w:r>
              <w:rPr>
                <w:noProof/>
                <w:webHidden/>
              </w:rPr>
            </w:r>
            <w:r>
              <w:rPr>
                <w:noProof/>
                <w:webHidden/>
              </w:rPr>
              <w:fldChar w:fldCharType="separate"/>
            </w:r>
            <w:r>
              <w:rPr>
                <w:noProof/>
                <w:webHidden/>
              </w:rPr>
              <w:t>5</w:t>
            </w:r>
            <w:r>
              <w:rPr>
                <w:noProof/>
                <w:webHidden/>
              </w:rPr>
              <w:fldChar w:fldCharType="end"/>
            </w:r>
          </w:hyperlink>
        </w:p>
        <w:p w14:paraId="4B934DFD" w14:textId="547250BE" w:rsidR="00773903" w:rsidRDefault="00773903">
          <w:pPr>
            <w:pStyle w:val="TOC1"/>
            <w:tabs>
              <w:tab w:val="left" w:pos="720"/>
              <w:tab w:val="right" w:leader="dot" w:pos="9016"/>
            </w:tabs>
            <w:rPr>
              <w:rFonts w:eastAsiaTheme="minorEastAsia"/>
              <w:noProof/>
              <w:sz w:val="24"/>
              <w:szCs w:val="24"/>
              <w:lang w:eastAsia="en-GB"/>
            </w:rPr>
          </w:pPr>
          <w:hyperlink w:anchor="_Toc200007150" w:history="1">
            <w:r w:rsidRPr="0004735B">
              <w:rPr>
                <w:rStyle w:val="Hyperlink"/>
                <w:noProof/>
              </w:rPr>
              <w:t>11.</w:t>
            </w:r>
            <w:r>
              <w:rPr>
                <w:rFonts w:eastAsiaTheme="minorEastAsia"/>
                <w:noProof/>
                <w:sz w:val="24"/>
                <w:szCs w:val="24"/>
                <w:lang w:eastAsia="en-GB"/>
              </w:rPr>
              <w:tab/>
            </w:r>
            <w:r w:rsidRPr="0004735B">
              <w:rPr>
                <w:rStyle w:val="Hyperlink"/>
                <w:noProof/>
              </w:rPr>
              <w:t>Residents’ rights and responsibilities</w:t>
            </w:r>
            <w:r>
              <w:rPr>
                <w:noProof/>
                <w:webHidden/>
              </w:rPr>
              <w:tab/>
            </w:r>
            <w:r>
              <w:rPr>
                <w:noProof/>
                <w:webHidden/>
              </w:rPr>
              <w:fldChar w:fldCharType="begin"/>
            </w:r>
            <w:r>
              <w:rPr>
                <w:noProof/>
                <w:webHidden/>
              </w:rPr>
              <w:instrText xml:space="preserve"> PAGEREF _Toc200007150 \h </w:instrText>
            </w:r>
            <w:r>
              <w:rPr>
                <w:noProof/>
                <w:webHidden/>
              </w:rPr>
            </w:r>
            <w:r>
              <w:rPr>
                <w:noProof/>
                <w:webHidden/>
              </w:rPr>
              <w:fldChar w:fldCharType="separate"/>
            </w:r>
            <w:r>
              <w:rPr>
                <w:noProof/>
                <w:webHidden/>
              </w:rPr>
              <w:t>5</w:t>
            </w:r>
            <w:r>
              <w:rPr>
                <w:noProof/>
                <w:webHidden/>
              </w:rPr>
              <w:fldChar w:fldCharType="end"/>
            </w:r>
          </w:hyperlink>
        </w:p>
        <w:p w14:paraId="6D23CF1B" w14:textId="013B66C9" w:rsidR="00773903" w:rsidRDefault="00773903">
          <w:pPr>
            <w:pStyle w:val="TOC1"/>
            <w:tabs>
              <w:tab w:val="left" w:pos="720"/>
              <w:tab w:val="right" w:leader="dot" w:pos="9016"/>
            </w:tabs>
            <w:rPr>
              <w:rFonts w:eastAsiaTheme="minorEastAsia"/>
              <w:noProof/>
              <w:sz w:val="24"/>
              <w:szCs w:val="24"/>
              <w:lang w:eastAsia="en-GB"/>
            </w:rPr>
          </w:pPr>
          <w:hyperlink w:anchor="_Toc200007151" w:history="1">
            <w:r w:rsidRPr="0004735B">
              <w:rPr>
                <w:rStyle w:val="Hyperlink"/>
                <w:noProof/>
              </w:rPr>
              <w:t>12.</w:t>
            </w:r>
            <w:r>
              <w:rPr>
                <w:rFonts w:eastAsiaTheme="minorEastAsia"/>
                <w:noProof/>
                <w:sz w:val="24"/>
                <w:szCs w:val="24"/>
                <w:lang w:eastAsia="en-GB"/>
              </w:rPr>
              <w:tab/>
            </w:r>
            <w:r w:rsidRPr="0004735B">
              <w:rPr>
                <w:rStyle w:val="Hyperlink"/>
                <w:noProof/>
              </w:rPr>
              <w:t>Performance monitoring</w:t>
            </w:r>
            <w:r>
              <w:rPr>
                <w:noProof/>
                <w:webHidden/>
              </w:rPr>
              <w:tab/>
            </w:r>
            <w:r>
              <w:rPr>
                <w:noProof/>
                <w:webHidden/>
              </w:rPr>
              <w:fldChar w:fldCharType="begin"/>
            </w:r>
            <w:r>
              <w:rPr>
                <w:noProof/>
                <w:webHidden/>
              </w:rPr>
              <w:instrText xml:space="preserve"> PAGEREF _Toc200007151 \h </w:instrText>
            </w:r>
            <w:r>
              <w:rPr>
                <w:noProof/>
                <w:webHidden/>
              </w:rPr>
            </w:r>
            <w:r>
              <w:rPr>
                <w:noProof/>
                <w:webHidden/>
              </w:rPr>
              <w:fldChar w:fldCharType="separate"/>
            </w:r>
            <w:r>
              <w:rPr>
                <w:noProof/>
                <w:webHidden/>
              </w:rPr>
              <w:t>5</w:t>
            </w:r>
            <w:r>
              <w:rPr>
                <w:noProof/>
                <w:webHidden/>
              </w:rPr>
              <w:fldChar w:fldCharType="end"/>
            </w:r>
          </w:hyperlink>
        </w:p>
        <w:p w14:paraId="11CD23BD" w14:textId="3F780912" w:rsidR="00773903" w:rsidRDefault="00773903">
          <w:pPr>
            <w:pStyle w:val="TOC1"/>
            <w:tabs>
              <w:tab w:val="left" w:pos="720"/>
              <w:tab w:val="right" w:leader="dot" w:pos="9016"/>
            </w:tabs>
            <w:rPr>
              <w:rFonts w:eastAsiaTheme="minorEastAsia"/>
              <w:noProof/>
              <w:sz w:val="24"/>
              <w:szCs w:val="24"/>
              <w:lang w:eastAsia="en-GB"/>
            </w:rPr>
          </w:pPr>
          <w:hyperlink w:anchor="_Toc200007152" w:history="1">
            <w:r w:rsidRPr="0004735B">
              <w:rPr>
                <w:rStyle w:val="Hyperlink"/>
                <w:noProof/>
              </w:rPr>
              <w:t>13.</w:t>
            </w:r>
            <w:r>
              <w:rPr>
                <w:rFonts w:eastAsiaTheme="minorEastAsia"/>
                <w:noProof/>
                <w:sz w:val="24"/>
                <w:szCs w:val="24"/>
                <w:lang w:eastAsia="en-GB"/>
              </w:rPr>
              <w:tab/>
            </w:r>
            <w:r w:rsidRPr="0004735B">
              <w:rPr>
                <w:rStyle w:val="Hyperlink"/>
                <w:noProof/>
              </w:rPr>
              <w:t>Consultation arrangements</w:t>
            </w:r>
            <w:r>
              <w:rPr>
                <w:noProof/>
                <w:webHidden/>
              </w:rPr>
              <w:tab/>
            </w:r>
            <w:r>
              <w:rPr>
                <w:noProof/>
                <w:webHidden/>
              </w:rPr>
              <w:fldChar w:fldCharType="begin"/>
            </w:r>
            <w:r>
              <w:rPr>
                <w:noProof/>
                <w:webHidden/>
              </w:rPr>
              <w:instrText xml:space="preserve"> PAGEREF _Toc200007152 \h </w:instrText>
            </w:r>
            <w:r>
              <w:rPr>
                <w:noProof/>
                <w:webHidden/>
              </w:rPr>
            </w:r>
            <w:r>
              <w:rPr>
                <w:noProof/>
                <w:webHidden/>
              </w:rPr>
              <w:fldChar w:fldCharType="separate"/>
            </w:r>
            <w:r>
              <w:rPr>
                <w:noProof/>
                <w:webHidden/>
              </w:rPr>
              <w:t>5</w:t>
            </w:r>
            <w:r>
              <w:rPr>
                <w:noProof/>
                <w:webHidden/>
              </w:rPr>
              <w:fldChar w:fldCharType="end"/>
            </w:r>
          </w:hyperlink>
        </w:p>
        <w:p w14:paraId="2C0DADF5" w14:textId="05E0D6EA" w:rsidR="00DC084B" w:rsidRDefault="00DC084B" w:rsidP="003C4B16">
          <w:pPr>
            <w:jc w:val="both"/>
          </w:pPr>
          <w:r>
            <w:rPr>
              <w:noProof/>
            </w:rPr>
            <w:fldChar w:fldCharType="end"/>
          </w:r>
        </w:p>
      </w:sdtContent>
    </w:sdt>
    <w:p w14:paraId="6CAA3406" w14:textId="77777777" w:rsidR="0050445A" w:rsidRDefault="0050445A" w:rsidP="003C4B16">
      <w:pPr>
        <w:jc w:val="both"/>
      </w:pPr>
    </w:p>
    <w:p w14:paraId="042CBE11" w14:textId="77777777" w:rsidR="00DC084B" w:rsidRDefault="00DC084B" w:rsidP="003C4B16">
      <w:pPr>
        <w:jc w:val="both"/>
      </w:pPr>
      <w:r>
        <w:br w:type="page"/>
      </w:r>
    </w:p>
    <w:p w14:paraId="43111D6B" w14:textId="2232712E" w:rsidR="0050445A" w:rsidRPr="00D474A7" w:rsidRDefault="0050445A" w:rsidP="003C4B16">
      <w:pPr>
        <w:jc w:val="both"/>
        <w:rPr>
          <w:b/>
          <w:bCs/>
          <w:sz w:val="28"/>
          <w:szCs w:val="28"/>
        </w:rPr>
      </w:pPr>
      <w:r w:rsidRPr="00D474A7">
        <w:rPr>
          <w:b/>
          <w:bCs/>
          <w:sz w:val="28"/>
          <w:szCs w:val="28"/>
        </w:rPr>
        <w:lastRenderedPageBreak/>
        <w:t>POLICY: RESPONSIVE REPAIRS</w:t>
      </w:r>
    </w:p>
    <w:p w14:paraId="3DB07DF2" w14:textId="12F57CB2" w:rsidR="0050445A" w:rsidRDefault="0050445A" w:rsidP="003C4B16">
      <w:pPr>
        <w:pStyle w:val="Heading1"/>
        <w:numPr>
          <w:ilvl w:val="0"/>
          <w:numId w:val="1"/>
        </w:numPr>
        <w:jc w:val="both"/>
      </w:pPr>
      <w:bookmarkStart w:id="0" w:name="_Toc200007140"/>
      <w:r>
        <w:t>Purpose and aim of the Policy</w:t>
      </w:r>
      <w:bookmarkEnd w:id="0"/>
    </w:p>
    <w:p w14:paraId="65EBD6C9" w14:textId="3280E335" w:rsidR="0050445A" w:rsidRPr="002A25D4" w:rsidRDefault="002A25D4" w:rsidP="003C4B16">
      <w:pPr>
        <w:ind w:left="720" w:hanging="360"/>
        <w:jc w:val="both"/>
      </w:pPr>
      <w:r>
        <w:t>1.1</w:t>
      </w:r>
      <w:r>
        <w:tab/>
      </w:r>
      <w:r w:rsidR="0050445A" w:rsidRPr="002A25D4">
        <w:t>We are committed to providing an excellent responsive repairs service to</w:t>
      </w:r>
      <w:r w:rsidR="007E5343" w:rsidRPr="002A25D4">
        <w:t xml:space="preserve"> </w:t>
      </w:r>
      <w:r w:rsidR="0050445A" w:rsidRPr="002A25D4">
        <w:t>meet our statutory obligations, ensure the satisfaction of our residents, protect the value of our housing stock, ensure probity and achieve value for money for all our stakeholders.</w:t>
      </w:r>
    </w:p>
    <w:p w14:paraId="239BDCD9" w14:textId="235617EE" w:rsidR="0050445A" w:rsidRDefault="0050445A" w:rsidP="003C4B16">
      <w:pPr>
        <w:pStyle w:val="Heading1"/>
        <w:numPr>
          <w:ilvl w:val="0"/>
          <w:numId w:val="1"/>
        </w:numPr>
        <w:jc w:val="both"/>
      </w:pPr>
      <w:bookmarkStart w:id="1" w:name="_Toc200007141"/>
      <w:r>
        <w:t>Key policy objectives</w:t>
      </w:r>
      <w:bookmarkEnd w:id="1"/>
    </w:p>
    <w:p w14:paraId="2D744607" w14:textId="77777777" w:rsidR="0050445A" w:rsidRPr="00B77220" w:rsidRDefault="0050445A" w:rsidP="003C4B16">
      <w:pPr>
        <w:jc w:val="both"/>
      </w:pPr>
      <w:r w:rsidRPr="00B77220">
        <w:t>The objectives of this Policy are:</w:t>
      </w:r>
    </w:p>
    <w:p w14:paraId="3E8A84B3" w14:textId="5296B7CA" w:rsidR="0050445A" w:rsidRPr="00B77220" w:rsidRDefault="0050445A" w:rsidP="003C4B16">
      <w:pPr>
        <w:pStyle w:val="ListParagraph"/>
        <w:numPr>
          <w:ilvl w:val="1"/>
          <w:numId w:val="1"/>
        </w:numPr>
        <w:jc w:val="both"/>
      </w:pPr>
      <w:r w:rsidRPr="00B77220">
        <w:t xml:space="preserve">To provide an efficient, prompt and </w:t>
      </w:r>
      <w:r w:rsidR="00DC084B" w:rsidRPr="00B77220">
        <w:t>cost-effective</w:t>
      </w:r>
      <w:r w:rsidRPr="00B77220">
        <w:t xml:space="preserve"> responsive repairs service which is easily understood.</w:t>
      </w:r>
    </w:p>
    <w:p w14:paraId="36DC503E" w14:textId="622091C7" w:rsidR="0050445A" w:rsidRPr="00B77220" w:rsidRDefault="0050445A" w:rsidP="003C4B16">
      <w:pPr>
        <w:pStyle w:val="ListParagraph"/>
        <w:numPr>
          <w:ilvl w:val="1"/>
          <w:numId w:val="1"/>
        </w:numPr>
        <w:jc w:val="both"/>
      </w:pPr>
      <w:r w:rsidRPr="00B77220">
        <w:t xml:space="preserve">To promote understanding of which responsive repairs we are responsible </w:t>
      </w:r>
      <w:r w:rsidR="00172866" w:rsidRPr="00B77220">
        <w:t>for,</w:t>
      </w:r>
      <w:r w:rsidRPr="00B77220">
        <w:t xml:space="preserve"> and which are the responsibility of the resident.</w:t>
      </w:r>
    </w:p>
    <w:p w14:paraId="3CFF320A" w14:textId="00D28BD1" w:rsidR="0050445A" w:rsidRPr="00B77220" w:rsidRDefault="0050445A" w:rsidP="003C4B16">
      <w:pPr>
        <w:pStyle w:val="ListParagraph"/>
        <w:numPr>
          <w:ilvl w:val="1"/>
          <w:numId w:val="1"/>
        </w:numPr>
        <w:jc w:val="both"/>
      </w:pPr>
      <w:r w:rsidRPr="00B77220">
        <w:t>To achieve high levels of resident service and satisfaction.</w:t>
      </w:r>
    </w:p>
    <w:p w14:paraId="2BB98049" w14:textId="62E60F7E" w:rsidR="0050445A" w:rsidRPr="00B77220" w:rsidRDefault="0050445A" w:rsidP="003C4B16">
      <w:pPr>
        <w:pStyle w:val="ListParagraph"/>
        <w:numPr>
          <w:ilvl w:val="1"/>
          <w:numId w:val="1"/>
        </w:numPr>
        <w:jc w:val="both"/>
      </w:pPr>
      <w:r w:rsidRPr="00B77220">
        <w:t>To monitor the performance of the responsive repairs service and to seek continuous improvement.</w:t>
      </w:r>
    </w:p>
    <w:p w14:paraId="3F65652F" w14:textId="054E0F24" w:rsidR="0050445A" w:rsidRPr="00B77220" w:rsidRDefault="0050445A" w:rsidP="003C4B16">
      <w:pPr>
        <w:pStyle w:val="ListParagraph"/>
        <w:numPr>
          <w:ilvl w:val="1"/>
          <w:numId w:val="1"/>
        </w:numPr>
        <w:jc w:val="both"/>
      </w:pPr>
      <w:r w:rsidRPr="00B77220">
        <w:t>To promote the use of local and small value for money contractors where possible and appropriate.</w:t>
      </w:r>
    </w:p>
    <w:p w14:paraId="6418708A" w14:textId="79697A64" w:rsidR="0050445A" w:rsidRPr="00B77220" w:rsidRDefault="0050445A" w:rsidP="003C4B16">
      <w:pPr>
        <w:pStyle w:val="ListParagraph"/>
        <w:numPr>
          <w:ilvl w:val="1"/>
          <w:numId w:val="1"/>
        </w:numPr>
        <w:jc w:val="both"/>
      </w:pPr>
      <w:r w:rsidRPr="00B77220">
        <w:t xml:space="preserve">To ensure that </w:t>
      </w:r>
      <w:r w:rsidR="002B33B4">
        <w:t xml:space="preserve">our workforce and </w:t>
      </w:r>
      <w:r w:rsidRPr="00B77220">
        <w:t>contractors operate in a safe, responsible manner, providing a consistent service to residents.</w:t>
      </w:r>
    </w:p>
    <w:p w14:paraId="18A23B6C" w14:textId="04528AC3" w:rsidR="0050445A" w:rsidRDefault="0050445A" w:rsidP="003C4B16">
      <w:pPr>
        <w:pStyle w:val="Heading1"/>
        <w:numPr>
          <w:ilvl w:val="0"/>
          <w:numId w:val="1"/>
        </w:numPr>
        <w:jc w:val="both"/>
      </w:pPr>
      <w:bookmarkStart w:id="2" w:name="_Toc200007142"/>
      <w:r>
        <w:t>Legal and regulatory requirements</w:t>
      </w:r>
      <w:bookmarkEnd w:id="2"/>
    </w:p>
    <w:p w14:paraId="1342A84C" w14:textId="10A31352" w:rsidR="0050445A" w:rsidRDefault="0050445A" w:rsidP="003C4B16">
      <w:pPr>
        <w:pStyle w:val="ListParagraph"/>
        <w:numPr>
          <w:ilvl w:val="1"/>
          <w:numId w:val="1"/>
        </w:numPr>
        <w:jc w:val="both"/>
      </w:pPr>
      <w:r>
        <w:t>We will carry out all repairs in accordance with legislative</w:t>
      </w:r>
      <w:r w:rsidR="004628A3">
        <w:t xml:space="preserve"> and r</w:t>
      </w:r>
      <w:r>
        <w:t>egulatory</w:t>
      </w:r>
      <w:r w:rsidR="004628A3">
        <w:t xml:space="preserve"> requirements</w:t>
      </w:r>
      <w:r>
        <w:t>. Current legislation places an obligation on us as a landlord to maintain the structure and exterior of the property, including installations for the supply of water, gas and electricity, heating systems, drainage and sanitary appliances.</w:t>
      </w:r>
    </w:p>
    <w:p w14:paraId="4BD8AB00" w14:textId="13A98C3E" w:rsidR="0050445A" w:rsidRDefault="0050445A" w:rsidP="003C4B16">
      <w:pPr>
        <w:pStyle w:val="ListParagraph"/>
        <w:numPr>
          <w:ilvl w:val="1"/>
          <w:numId w:val="1"/>
        </w:numPr>
        <w:jc w:val="both"/>
      </w:pPr>
      <w:r>
        <w:t xml:space="preserve">In </w:t>
      </w:r>
      <w:r w:rsidR="00AC00D2">
        <w:t>addition,</w:t>
      </w:r>
      <w:r w:rsidR="00C97659">
        <w:t xml:space="preserve"> we aim </w:t>
      </w:r>
      <w:r w:rsidR="00691EF2">
        <w:t>to</w:t>
      </w:r>
      <w:r>
        <w:t>:</w:t>
      </w:r>
    </w:p>
    <w:p w14:paraId="13ACB91C" w14:textId="5A93B3C4" w:rsidR="0050445A" w:rsidRDefault="0050445A" w:rsidP="003C4B16">
      <w:pPr>
        <w:pStyle w:val="ListParagraph"/>
        <w:numPr>
          <w:ilvl w:val="2"/>
          <w:numId w:val="1"/>
        </w:numPr>
        <w:jc w:val="both"/>
      </w:pPr>
      <w:r>
        <w:t>provide a cost-effective repairs and maintenance service to homes and communal areas that responds to the needs of, and offers choices to tenants, and has the objective of completing repairs and improvements right first time</w:t>
      </w:r>
    </w:p>
    <w:p w14:paraId="74479822" w14:textId="2F4041F1" w:rsidR="0050445A" w:rsidRDefault="0050445A" w:rsidP="003C4B16">
      <w:pPr>
        <w:pStyle w:val="ListParagraph"/>
        <w:numPr>
          <w:ilvl w:val="2"/>
          <w:numId w:val="1"/>
        </w:numPr>
        <w:jc w:val="both"/>
      </w:pPr>
      <w:r>
        <w:t>meet all applicable statutory requirements that provide for the health and safety of the occupants of their homes.</w:t>
      </w:r>
    </w:p>
    <w:p w14:paraId="79A44024" w14:textId="3E966A79" w:rsidR="0050445A" w:rsidRDefault="0050445A" w:rsidP="003C4B16">
      <w:pPr>
        <w:pStyle w:val="Heading1"/>
        <w:numPr>
          <w:ilvl w:val="0"/>
          <w:numId w:val="1"/>
        </w:numPr>
        <w:jc w:val="both"/>
      </w:pPr>
      <w:bookmarkStart w:id="3" w:name="_Toc200007143"/>
      <w:r>
        <w:t>Responsive repairs service standards</w:t>
      </w:r>
      <w:bookmarkEnd w:id="3"/>
    </w:p>
    <w:p w14:paraId="4BF8BBA8" w14:textId="0FDFFF35" w:rsidR="0050445A" w:rsidRDefault="0050445A" w:rsidP="003C4B16">
      <w:pPr>
        <w:pStyle w:val="ListParagraph"/>
        <w:numPr>
          <w:ilvl w:val="1"/>
          <w:numId w:val="1"/>
        </w:numPr>
        <w:jc w:val="both"/>
      </w:pPr>
      <w:r>
        <w:t>We will operate simple</w:t>
      </w:r>
      <w:r w:rsidR="002D0E85">
        <w:t xml:space="preserve"> and </w:t>
      </w:r>
      <w:r>
        <w:t xml:space="preserve">convenient and well publicised arrangements for reporting repairs. We will aim to fulfil our repairing obligations to agreed standards and within defined response times. These will continue to be reviewed at periodic intervals in consultation with residents. The response times will be by agreement and by </w:t>
      </w:r>
      <w:r>
        <w:lastRenderedPageBreak/>
        <w:t xml:space="preserve">appointment between the resident and the </w:t>
      </w:r>
      <w:r w:rsidR="00896C41">
        <w:t xml:space="preserve">relevant </w:t>
      </w:r>
      <w:r w:rsidR="004B021C">
        <w:t>operative/office/contr</w:t>
      </w:r>
      <w:r>
        <w:t>actor where reasonable.</w:t>
      </w:r>
    </w:p>
    <w:p w14:paraId="69536828" w14:textId="1D45EA5F" w:rsidR="0050445A" w:rsidRDefault="0050445A" w:rsidP="003C4B16">
      <w:pPr>
        <w:pStyle w:val="ListParagraph"/>
        <w:numPr>
          <w:ilvl w:val="1"/>
          <w:numId w:val="1"/>
        </w:numPr>
        <w:jc w:val="both"/>
      </w:pPr>
      <w:r>
        <w:t>We will provide residents with a well-publicised ‘out of hours’ emergency repairs service.</w:t>
      </w:r>
    </w:p>
    <w:p w14:paraId="790D2D07" w14:textId="3F57B4F2" w:rsidR="0050445A" w:rsidRDefault="0050445A" w:rsidP="003C4B16">
      <w:pPr>
        <w:pStyle w:val="ListParagraph"/>
        <w:numPr>
          <w:ilvl w:val="1"/>
          <w:numId w:val="1"/>
        </w:numPr>
        <w:jc w:val="both"/>
      </w:pPr>
      <w:r>
        <w:t xml:space="preserve">We </w:t>
      </w:r>
      <w:r w:rsidR="004B021C">
        <w:t xml:space="preserve">may </w:t>
      </w:r>
      <w:r>
        <w:t xml:space="preserve">send surveys to all residents requesting repairs to monitor </w:t>
      </w:r>
      <w:r w:rsidR="00AA37B9">
        <w:t xml:space="preserve">our </w:t>
      </w:r>
      <w:r>
        <w:t xml:space="preserve">performance against our Repair Service Standards and report the outcomes from those that are returned to all residents and the </w:t>
      </w:r>
      <w:r w:rsidR="00AA37B9">
        <w:t>Committee</w:t>
      </w:r>
      <w:r>
        <w:t>.</w:t>
      </w:r>
    </w:p>
    <w:p w14:paraId="5EED72ED" w14:textId="657110EF" w:rsidR="0050445A" w:rsidRDefault="0050445A" w:rsidP="003C4B16">
      <w:pPr>
        <w:pStyle w:val="ListParagraph"/>
        <w:numPr>
          <w:ilvl w:val="1"/>
          <w:numId w:val="1"/>
        </w:numPr>
        <w:jc w:val="both"/>
      </w:pPr>
      <w:r>
        <w:t>We will aim to complete responsive repairs (</w:t>
      </w:r>
      <w:r w:rsidR="005D5E25">
        <w:t>i.e.</w:t>
      </w:r>
      <w:r>
        <w:t xml:space="preserve"> those reported by residents, their relatives, advocates or our staff) within the following timescales:</w:t>
      </w:r>
    </w:p>
    <w:p w14:paraId="565ED80C" w14:textId="22EA3F35" w:rsidR="0050445A" w:rsidRPr="00723346" w:rsidRDefault="0050445A" w:rsidP="003C4B16">
      <w:pPr>
        <w:pStyle w:val="ListParagraph"/>
        <w:numPr>
          <w:ilvl w:val="2"/>
          <w:numId w:val="1"/>
        </w:numPr>
        <w:jc w:val="both"/>
        <w:rPr>
          <w:b/>
          <w:bCs/>
        </w:rPr>
      </w:pPr>
      <w:r w:rsidRPr="00723346">
        <w:rPr>
          <w:b/>
          <w:bCs/>
        </w:rPr>
        <w:t>Emergency works</w:t>
      </w:r>
    </w:p>
    <w:p w14:paraId="1BA4EFE5" w14:textId="35E13379" w:rsidR="0050445A" w:rsidRDefault="0050445A" w:rsidP="003C4B16">
      <w:pPr>
        <w:pStyle w:val="ListParagraph"/>
        <w:numPr>
          <w:ilvl w:val="3"/>
          <w:numId w:val="1"/>
        </w:numPr>
        <w:jc w:val="both"/>
      </w:pPr>
      <w:r>
        <w:t>Works in this category will be completed within 24 hours. They are those</w:t>
      </w:r>
      <w:r w:rsidR="00B77220">
        <w:t xml:space="preserve"> </w:t>
      </w:r>
      <w:r>
        <w:t>that, if left unattended, may cause immediate risk of injury or damage to health, loss of a facility causing undue hardship, extensive damage to property, or a loss of security. Where a permanent repair cannot be made immediately, a temporary repair will be carried out to make safe, and a permanent repair will be carried out within a less urgent timescale.</w:t>
      </w:r>
    </w:p>
    <w:p w14:paraId="3A7A9440" w14:textId="461D609C" w:rsidR="0050445A" w:rsidRDefault="0050445A" w:rsidP="003C4B16">
      <w:pPr>
        <w:pStyle w:val="ListParagraph"/>
        <w:numPr>
          <w:ilvl w:val="3"/>
          <w:numId w:val="1"/>
        </w:numPr>
        <w:jc w:val="both"/>
      </w:pPr>
      <w:r>
        <w:t xml:space="preserve">During the winter months (normally between </w:t>
      </w:r>
      <w:r w:rsidR="00723346">
        <w:t xml:space="preserve">October </w:t>
      </w:r>
      <w:r>
        <w:t xml:space="preserve">to </w:t>
      </w:r>
      <w:r w:rsidR="00723346">
        <w:t>March</w:t>
      </w:r>
      <w:r>
        <w:t xml:space="preserve"> inclusive), heating repairs will be considered as emergency works. Temporary heating will be provided if appropriate during the winter months or in other exceptional circumstances </w:t>
      </w:r>
      <w:r w:rsidR="00723346">
        <w:t>e.g.</w:t>
      </w:r>
      <w:r>
        <w:t xml:space="preserve"> the poor health of the resident requires them to have adequate heating.</w:t>
      </w:r>
    </w:p>
    <w:p w14:paraId="0B963DC9" w14:textId="4E4B1F88" w:rsidR="0050445A" w:rsidRPr="00723346" w:rsidRDefault="0050445A" w:rsidP="003C4B16">
      <w:pPr>
        <w:pStyle w:val="ListParagraph"/>
        <w:numPr>
          <w:ilvl w:val="2"/>
          <w:numId w:val="1"/>
        </w:numPr>
        <w:jc w:val="both"/>
        <w:rPr>
          <w:b/>
          <w:bCs/>
        </w:rPr>
      </w:pPr>
      <w:r w:rsidRPr="00723346">
        <w:rPr>
          <w:b/>
          <w:bCs/>
        </w:rPr>
        <w:t>Other responsive works</w:t>
      </w:r>
    </w:p>
    <w:p w14:paraId="5B07323F" w14:textId="6CB96222" w:rsidR="0050445A" w:rsidRDefault="0050445A" w:rsidP="003C4B16">
      <w:pPr>
        <w:pStyle w:val="ListParagraph"/>
        <w:numPr>
          <w:ilvl w:val="3"/>
          <w:numId w:val="1"/>
        </w:numPr>
        <w:jc w:val="both"/>
      </w:pPr>
      <w:r>
        <w:t xml:space="preserve">All other works will normally be arranged to be undertaken by mutually agreed appointments, made by the </w:t>
      </w:r>
      <w:r w:rsidR="006E6B59">
        <w:t xml:space="preserve">operative/office/contractor </w:t>
      </w:r>
      <w:r>
        <w:t>directly with the resident.</w:t>
      </w:r>
    </w:p>
    <w:p w14:paraId="06FAF96A" w14:textId="48C58D57" w:rsidR="0050445A" w:rsidRDefault="0050445A" w:rsidP="003C4B16">
      <w:pPr>
        <w:pStyle w:val="ListParagraph"/>
        <w:numPr>
          <w:ilvl w:val="3"/>
          <w:numId w:val="1"/>
        </w:numPr>
        <w:jc w:val="both"/>
      </w:pPr>
      <w:r>
        <w:t xml:space="preserve">The </w:t>
      </w:r>
      <w:r w:rsidR="008E5BDE">
        <w:t xml:space="preserve">operative/contractor </w:t>
      </w:r>
      <w:r>
        <w:t>will be expected to contact the resident within three working days of the order being raised to arrange for an appointment for the works to be completed.</w:t>
      </w:r>
    </w:p>
    <w:p w14:paraId="6B903AFB" w14:textId="473C4BEB" w:rsidR="0050445A" w:rsidRDefault="0050445A" w:rsidP="003C4B16">
      <w:pPr>
        <w:pStyle w:val="ListParagraph"/>
        <w:numPr>
          <w:ilvl w:val="3"/>
          <w:numId w:val="1"/>
        </w:numPr>
        <w:jc w:val="both"/>
      </w:pPr>
      <w:r>
        <w:t xml:space="preserve">The </w:t>
      </w:r>
      <w:r w:rsidR="008E5BDE">
        <w:t xml:space="preserve">operative/contractor </w:t>
      </w:r>
      <w:r>
        <w:t xml:space="preserve">will be expected to inform us if they are unable to </w:t>
      </w:r>
      <w:r w:rsidR="00D31830">
        <w:t>contact</w:t>
      </w:r>
      <w:r>
        <w:t xml:space="preserve"> the resident to arrange an appointment within three working days of an order being placed or are unable to make an appointment for the works to be completed at a reasonable time or within a reasonable timescale.</w:t>
      </w:r>
    </w:p>
    <w:p w14:paraId="3230197E" w14:textId="5F24BD76" w:rsidR="0050445A" w:rsidRDefault="0050445A" w:rsidP="003C4B16">
      <w:pPr>
        <w:pStyle w:val="ListParagraph"/>
        <w:numPr>
          <w:ilvl w:val="3"/>
          <w:numId w:val="1"/>
        </w:numPr>
        <w:jc w:val="both"/>
      </w:pPr>
      <w:r>
        <w:t>Appointments will normally be for works to be undertaken during our normal working hours, other than for emergencies.</w:t>
      </w:r>
    </w:p>
    <w:p w14:paraId="5CDD8B2A" w14:textId="2E806B58" w:rsidR="0050445A" w:rsidRDefault="0050445A" w:rsidP="003C4B16">
      <w:pPr>
        <w:pStyle w:val="ListParagraph"/>
        <w:numPr>
          <w:ilvl w:val="3"/>
          <w:numId w:val="1"/>
        </w:numPr>
        <w:jc w:val="both"/>
      </w:pPr>
      <w:r>
        <w:t>Appointments can be made to undertake works outside of our normal working hours, if that is convenient for both the</w:t>
      </w:r>
      <w:r w:rsidR="00C4293D">
        <w:t xml:space="preserve"> operative/contractor</w:t>
      </w:r>
      <w:r>
        <w:t xml:space="preserve"> and </w:t>
      </w:r>
      <w:r w:rsidR="005D5E25">
        <w:t>resident and</w:t>
      </w:r>
      <w:r>
        <w:t xml:space="preserve"> will not require contact to be made with us, for example to authorise additional works at the time the work is being undertaken, unless it is an emergency situation.</w:t>
      </w:r>
    </w:p>
    <w:p w14:paraId="3A30A0F3" w14:textId="4245A755" w:rsidR="0050445A" w:rsidRDefault="0050445A" w:rsidP="003C4B16">
      <w:pPr>
        <w:pStyle w:val="Heading1"/>
        <w:numPr>
          <w:ilvl w:val="0"/>
          <w:numId w:val="1"/>
        </w:numPr>
        <w:jc w:val="both"/>
      </w:pPr>
      <w:bookmarkStart w:id="4" w:name="_Toc200007144"/>
      <w:r>
        <w:t>Inspections</w:t>
      </w:r>
      <w:bookmarkEnd w:id="4"/>
    </w:p>
    <w:p w14:paraId="769B6A2F" w14:textId="6D4DF228" w:rsidR="0050445A" w:rsidRDefault="0050445A" w:rsidP="003C4B16">
      <w:pPr>
        <w:pStyle w:val="ListParagraph"/>
        <w:numPr>
          <w:ilvl w:val="1"/>
          <w:numId w:val="1"/>
        </w:numPr>
        <w:jc w:val="both"/>
      </w:pPr>
      <w:r>
        <w:t>Inspections can be classified as either pre-inspections or post inspections.</w:t>
      </w:r>
    </w:p>
    <w:p w14:paraId="054FE07C" w14:textId="4BA5AB01" w:rsidR="0050445A" w:rsidRDefault="0050445A" w:rsidP="003C4B16">
      <w:pPr>
        <w:pStyle w:val="ListParagraph"/>
        <w:numPr>
          <w:ilvl w:val="1"/>
          <w:numId w:val="1"/>
        </w:numPr>
        <w:jc w:val="both"/>
      </w:pPr>
      <w:r>
        <w:lastRenderedPageBreak/>
        <w:t>Pre-inspections may be needed to accurately diagnose problems and determine what work is required, or to support a vulnerable resident who is seeking assistance with a repair where:</w:t>
      </w:r>
    </w:p>
    <w:p w14:paraId="5EC92867" w14:textId="1F2B17A9" w:rsidR="0050445A" w:rsidRDefault="0050445A" w:rsidP="003C4B16">
      <w:pPr>
        <w:pStyle w:val="ListParagraph"/>
        <w:numPr>
          <w:ilvl w:val="2"/>
          <w:numId w:val="1"/>
        </w:numPr>
        <w:jc w:val="both"/>
      </w:pPr>
      <w:r>
        <w:t>The resident is unable to fully explain the repair that is required and needs our assistance.</w:t>
      </w:r>
    </w:p>
    <w:p w14:paraId="6DF09F8B" w14:textId="741D7FF7" w:rsidR="0050445A" w:rsidRDefault="0050445A" w:rsidP="003C4B16">
      <w:pPr>
        <w:pStyle w:val="ListParagraph"/>
        <w:numPr>
          <w:ilvl w:val="2"/>
          <w:numId w:val="1"/>
        </w:numPr>
        <w:jc w:val="both"/>
      </w:pPr>
      <w:r>
        <w:t>The responsibility for the repair either lies with the resident or is initially</w:t>
      </w:r>
      <w:r w:rsidR="00B77220">
        <w:t xml:space="preserve"> </w:t>
      </w:r>
      <w:r>
        <w:t>unclear.</w:t>
      </w:r>
    </w:p>
    <w:p w14:paraId="10D566D5" w14:textId="517855B5" w:rsidR="0050445A" w:rsidRDefault="0050445A" w:rsidP="003C4B16">
      <w:pPr>
        <w:pStyle w:val="ListParagraph"/>
        <w:numPr>
          <w:ilvl w:val="2"/>
          <w:numId w:val="1"/>
        </w:numPr>
        <w:jc w:val="both"/>
      </w:pPr>
      <w:r>
        <w:t>Where the works required are extensive and involve a number of different trades or contractors.</w:t>
      </w:r>
    </w:p>
    <w:p w14:paraId="65D6C44E" w14:textId="26DF713A" w:rsidR="0050445A" w:rsidRDefault="0050445A" w:rsidP="003C4B16">
      <w:pPr>
        <w:pStyle w:val="ListParagraph"/>
        <w:numPr>
          <w:ilvl w:val="2"/>
          <w:numId w:val="1"/>
        </w:numPr>
        <w:jc w:val="both"/>
      </w:pPr>
      <w:r>
        <w:t>A previous repair has not solved the problem.</w:t>
      </w:r>
    </w:p>
    <w:p w14:paraId="4F38C37E" w14:textId="18B0580F" w:rsidR="0050445A" w:rsidRDefault="0050445A" w:rsidP="003C4B16">
      <w:pPr>
        <w:pStyle w:val="ListParagraph"/>
        <w:numPr>
          <w:ilvl w:val="1"/>
          <w:numId w:val="1"/>
        </w:numPr>
        <w:jc w:val="both"/>
      </w:pPr>
      <w:r>
        <w:t xml:space="preserve">Post inspections will be conducted to collect and collate information as to the quality of completed repairs. We will use this information to improve the repairs process and audit the work of our contractors. </w:t>
      </w:r>
    </w:p>
    <w:p w14:paraId="4579713F" w14:textId="5D829386" w:rsidR="0050445A" w:rsidRDefault="0050445A" w:rsidP="003C4B16">
      <w:pPr>
        <w:pStyle w:val="Heading1"/>
        <w:numPr>
          <w:ilvl w:val="0"/>
          <w:numId w:val="1"/>
        </w:numPr>
        <w:jc w:val="both"/>
      </w:pPr>
      <w:bookmarkStart w:id="5" w:name="_Toc200007145"/>
      <w:r>
        <w:t>Resident responsibilities</w:t>
      </w:r>
      <w:bookmarkEnd w:id="5"/>
    </w:p>
    <w:p w14:paraId="012244BA" w14:textId="24FA680F" w:rsidR="0050445A" w:rsidRDefault="0050445A" w:rsidP="003C4B16">
      <w:pPr>
        <w:pStyle w:val="ListParagraph"/>
        <w:numPr>
          <w:ilvl w:val="1"/>
          <w:numId w:val="1"/>
        </w:numPr>
        <w:jc w:val="both"/>
      </w:pPr>
      <w:r>
        <w:t xml:space="preserve">Outside our responsibilities there are repairs that residents are responsible for. These are detailed and publicised in our ‘Repairs Guidelines’ leaflet which is issued as part of the </w:t>
      </w:r>
      <w:r w:rsidRPr="006E1898">
        <w:t>new lettings pack</w:t>
      </w:r>
      <w:r w:rsidR="006E1898" w:rsidRPr="006E1898">
        <w:t xml:space="preserve">, </w:t>
      </w:r>
      <w:r w:rsidRPr="006E1898">
        <w:t xml:space="preserve">available via our website </w:t>
      </w:r>
      <w:r w:rsidR="006E1898" w:rsidRPr="006E1898">
        <w:t>or on request</w:t>
      </w:r>
      <w:r>
        <w:t>.</w:t>
      </w:r>
    </w:p>
    <w:p w14:paraId="696ED7E7" w14:textId="451BFCEA" w:rsidR="0050445A" w:rsidRDefault="0050445A" w:rsidP="003C4B16">
      <w:pPr>
        <w:pStyle w:val="ListParagraph"/>
        <w:numPr>
          <w:ilvl w:val="1"/>
          <w:numId w:val="1"/>
        </w:numPr>
        <w:jc w:val="both"/>
      </w:pPr>
      <w:r>
        <w:t>These include, but are not limited to:</w:t>
      </w:r>
    </w:p>
    <w:p w14:paraId="5C5DAB5F" w14:textId="3D88D433" w:rsidR="0050445A" w:rsidRDefault="0050445A" w:rsidP="003C4B16">
      <w:pPr>
        <w:pStyle w:val="ListParagraph"/>
        <w:numPr>
          <w:ilvl w:val="2"/>
          <w:numId w:val="1"/>
        </w:numPr>
        <w:jc w:val="both"/>
      </w:pPr>
      <w:r>
        <w:t>Light bulbs and fluorescent tubes in residents’ homes</w:t>
      </w:r>
      <w:r w:rsidR="00A95921">
        <w:t xml:space="preserve"> unless a resident is unable to do this themselves</w:t>
      </w:r>
      <w:r w:rsidR="00543EF3">
        <w:t>.</w:t>
      </w:r>
    </w:p>
    <w:p w14:paraId="108433A1" w14:textId="190D6B42" w:rsidR="0050445A" w:rsidRDefault="0050445A" w:rsidP="003C4B16">
      <w:pPr>
        <w:pStyle w:val="ListParagraph"/>
        <w:numPr>
          <w:ilvl w:val="2"/>
          <w:numId w:val="1"/>
        </w:numPr>
        <w:jc w:val="both"/>
      </w:pPr>
      <w:r>
        <w:t>Toilet seats and toilet roll holders</w:t>
      </w:r>
    </w:p>
    <w:p w14:paraId="10D85F0E" w14:textId="7DD3793B" w:rsidR="0050445A" w:rsidRDefault="0050445A" w:rsidP="003C4B16">
      <w:pPr>
        <w:pStyle w:val="ListParagraph"/>
        <w:numPr>
          <w:ilvl w:val="2"/>
          <w:numId w:val="1"/>
        </w:numPr>
        <w:jc w:val="both"/>
      </w:pPr>
      <w:r>
        <w:t>Replacing or cleaning shower heads and hoses (other than when the resident first moves in)</w:t>
      </w:r>
    </w:p>
    <w:p w14:paraId="57C361B1" w14:textId="37B6880D" w:rsidR="0050445A" w:rsidRDefault="00FB1E24" w:rsidP="003C4B16">
      <w:pPr>
        <w:pStyle w:val="ListParagraph"/>
        <w:numPr>
          <w:ilvl w:val="2"/>
          <w:numId w:val="1"/>
        </w:numPr>
        <w:jc w:val="both"/>
      </w:pPr>
      <w:r>
        <w:t>The cost of r</w:t>
      </w:r>
      <w:r w:rsidR="0050445A">
        <w:t xml:space="preserve">eplacing keys or locks </w:t>
      </w:r>
      <w:r>
        <w:t>if</w:t>
      </w:r>
      <w:r w:rsidR="0050445A">
        <w:t xml:space="preserve"> keys have been lost.</w:t>
      </w:r>
    </w:p>
    <w:p w14:paraId="7D87B9AF" w14:textId="520090B8" w:rsidR="0050445A" w:rsidRDefault="0050445A" w:rsidP="003C4B16">
      <w:pPr>
        <w:pStyle w:val="ListParagraph"/>
        <w:numPr>
          <w:ilvl w:val="2"/>
          <w:numId w:val="1"/>
        </w:numPr>
        <w:jc w:val="both"/>
      </w:pPr>
      <w:r>
        <w:t>Broken mirrors where they have been damaged by the resident</w:t>
      </w:r>
    </w:p>
    <w:p w14:paraId="5AEB6E7A" w14:textId="43FDE042" w:rsidR="0050445A" w:rsidRDefault="0050445A" w:rsidP="003C4B16">
      <w:pPr>
        <w:pStyle w:val="ListParagraph"/>
        <w:numPr>
          <w:ilvl w:val="2"/>
          <w:numId w:val="1"/>
        </w:numPr>
        <w:jc w:val="both"/>
      </w:pPr>
      <w:r>
        <w:t>Cleaning extractor fans</w:t>
      </w:r>
      <w:r w:rsidR="005961FF">
        <w:t>.</w:t>
      </w:r>
    </w:p>
    <w:p w14:paraId="14FA1A8F" w14:textId="056E43A4" w:rsidR="0050445A" w:rsidRDefault="002A25D4" w:rsidP="003C4B16">
      <w:pPr>
        <w:pStyle w:val="ListParagraph"/>
        <w:numPr>
          <w:ilvl w:val="2"/>
          <w:numId w:val="1"/>
        </w:numPr>
        <w:jc w:val="both"/>
      </w:pPr>
      <w:r>
        <w:t>A</w:t>
      </w:r>
      <w:r w:rsidR="0050445A">
        <w:t>ny electrical appliance that we do not own</w:t>
      </w:r>
      <w:r w:rsidR="009F7354">
        <w:t>.</w:t>
      </w:r>
    </w:p>
    <w:p w14:paraId="59D9AA6D" w14:textId="5EAEC82F" w:rsidR="0050445A" w:rsidRDefault="0050445A" w:rsidP="003C4B16">
      <w:pPr>
        <w:pStyle w:val="ListParagraph"/>
        <w:numPr>
          <w:ilvl w:val="2"/>
          <w:numId w:val="1"/>
        </w:numPr>
        <w:jc w:val="both"/>
      </w:pPr>
      <w:r>
        <w:t>Any item installed by the resident.</w:t>
      </w:r>
    </w:p>
    <w:p w14:paraId="5448CBF8" w14:textId="43855823" w:rsidR="0050445A" w:rsidRDefault="0050445A" w:rsidP="003C4B16">
      <w:pPr>
        <w:pStyle w:val="Heading1"/>
        <w:numPr>
          <w:ilvl w:val="0"/>
          <w:numId w:val="1"/>
        </w:numPr>
        <w:jc w:val="both"/>
      </w:pPr>
      <w:bookmarkStart w:id="6" w:name="_Toc200007146"/>
      <w:r>
        <w:t>Rechargeable repairs</w:t>
      </w:r>
      <w:bookmarkEnd w:id="6"/>
    </w:p>
    <w:p w14:paraId="69E93ED9" w14:textId="674F4218" w:rsidR="0050445A" w:rsidRDefault="002A25D4" w:rsidP="003C4B16">
      <w:pPr>
        <w:pStyle w:val="ListParagraph"/>
        <w:numPr>
          <w:ilvl w:val="1"/>
          <w:numId w:val="1"/>
        </w:numPr>
        <w:jc w:val="both"/>
      </w:pPr>
      <w:r>
        <w:t>A</w:t>
      </w:r>
      <w:r w:rsidR="0050445A">
        <w:t xml:space="preserve"> rechargeable repair occurs where there has been deliberate damage or neglect by a resident, their family or visiting friends to a property that we own. The repair will be highlighted to the resident as being rechargeable at the point of reporting to discuss and agree a repayment plan in advance of the work being ordered.</w:t>
      </w:r>
    </w:p>
    <w:p w14:paraId="341CF66E" w14:textId="5CB8FD9F" w:rsidR="0050445A" w:rsidRDefault="0050445A" w:rsidP="003C4B16">
      <w:pPr>
        <w:pStyle w:val="Heading1"/>
        <w:numPr>
          <w:ilvl w:val="0"/>
          <w:numId w:val="1"/>
        </w:numPr>
        <w:jc w:val="both"/>
      </w:pPr>
      <w:bookmarkStart w:id="7" w:name="_Toc200007147"/>
      <w:r>
        <w:t>Improvements and alterations</w:t>
      </w:r>
      <w:bookmarkEnd w:id="7"/>
    </w:p>
    <w:p w14:paraId="739DE910" w14:textId="4068B2C8" w:rsidR="0050445A" w:rsidRDefault="0050445A" w:rsidP="003C4B16">
      <w:pPr>
        <w:pStyle w:val="ListParagraph"/>
        <w:numPr>
          <w:ilvl w:val="1"/>
          <w:numId w:val="1"/>
        </w:numPr>
        <w:jc w:val="both"/>
      </w:pPr>
      <w:r>
        <w:t>Improvements to and alterations to residents’ homes may only be carried out with written permission from us in advance. We will carry out an inspection after the work has been completed to ensure that it meets the standard required. We may make a charge to correct any work that is found to be sub-standard during the inspection.</w:t>
      </w:r>
    </w:p>
    <w:p w14:paraId="0C0301BA" w14:textId="080DD00C" w:rsidR="0050445A" w:rsidRDefault="0050445A" w:rsidP="003C4B16">
      <w:pPr>
        <w:pStyle w:val="Heading1"/>
        <w:numPr>
          <w:ilvl w:val="0"/>
          <w:numId w:val="1"/>
        </w:numPr>
        <w:jc w:val="both"/>
      </w:pPr>
      <w:bookmarkStart w:id="8" w:name="_Toc200007148"/>
      <w:r>
        <w:lastRenderedPageBreak/>
        <w:t>Probity and value for money</w:t>
      </w:r>
      <w:bookmarkEnd w:id="8"/>
    </w:p>
    <w:p w14:paraId="2E1486AE" w14:textId="06149DD5" w:rsidR="0050445A" w:rsidRDefault="0050445A" w:rsidP="003C4B16">
      <w:pPr>
        <w:pStyle w:val="ListParagraph"/>
        <w:numPr>
          <w:ilvl w:val="1"/>
          <w:numId w:val="1"/>
        </w:numPr>
        <w:jc w:val="both"/>
      </w:pPr>
      <w:r>
        <w:t xml:space="preserve">All orders and contracts for works or services will be </w:t>
      </w:r>
      <w:r w:rsidR="005648E1">
        <w:t>issued,</w:t>
      </w:r>
      <w:r>
        <w:t xml:space="preserve"> and payment authorised within clearly defined lines of delegation and responsibility, and in line with our Standing Orders and Financial Regulations. Our strategy aim</w:t>
      </w:r>
      <w:r w:rsidR="004E7BCD">
        <w:t>s</w:t>
      </w:r>
      <w:r>
        <w:t xml:space="preserve"> to combine the best quality of service with value for money for the business and residents. </w:t>
      </w:r>
    </w:p>
    <w:p w14:paraId="3AB44B31" w14:textId="2970EB17" w:rsidR="0050445A" w:rsidRDefault="0050445A" w:rsidP="003C4B16">
      <w:pPr>
        <w:pStyle w:val="ListParagraph"/>
        <w:numPr>
          <w:ilvl w:val="1"/>
          <w:numId w:val="1"/>
        </w:numPr>
        <w:jc w:val="both"/>
      </w:pPr>
      <w:r>
        <w:t xml:space="preserve">Where appropriate, term maintenance contracts may be entered into with approved contractors to optimise the cost-effectiveness of a responsive repairs service. We will maintain contract control procedures to monitor contractor performance, to comply with legal requirements and will enforce penalties where appropriate. </w:t>
      </w:r>
    </w:p>
    <w:p w14:paraId="30E3BFEC" w14:textId="2ECA817A" w:rsidR="0050445A" w:rsidRDefault="0050445A" w:rsidP="003C4B16">
      <w:pPr>
        <w:pStyle w:val="ListParagraph"/>
        <w:numPr>
          <w:ilvl w:val="1"/>
          <w:numId w:val="1"/>
        </w:numPr>
        <w:jc w:val="both"/>
      </w:pPr>
      <w:r>
        <w:t xml:space="preserve">The efficiency and effectiveness of contractors will be regularly monitored to assess competitiveness, speed and quality of work, value for money, attitude towards residents, compliance with health and safety regulations and the principles of equality and diversity. We will also monitor the distribution of work between contractors providing particular trades to ensure that it is fair, appropriate, and effective. </w:t>
      </w:r>
    </w:p>
    <w:p w14:paraId="74469314" w14:textId="281F7194" w:rsidR="0050445A" w:rsidRDefault="0050445A" w:rsidP="003C4B16">
      <w:pPr>
        <w:pStyle w:val="ListParagraph"/>
        <w:numPr>
          <w:ilvl w:val="1"/>
          <w:numId w:val="1"/>
        </w:numPr>
        <w:jc w:val="both"/>
      </w:pPr>
      <w:r>
        <w:t>Maintenance and repairs provision will be subject to regular review. Information leaflets will be made available to residents on aspects of repairs and related service issues.</w:t>
      </w:r>
    </w:p>
    <w:p w14:paraId="528563C5" w14:textId="2113FCD4" w:rsidR="0050445A" w:rsidRDefault="0050445A" w:rsidP="003C4B16">
      <w:pPr>
        <w:pStyle w:val="Heading1"/>
        <w:numPr>
          <w:ilvl w:val="0"/>
          <w:numId w:val="1"/>
        </w:numPr>
        <w:jc w:val="both"/>
      </w:pPr>
      <w:bookmarkStart w:id="9" w:name="_Toc200007149"/>
      <w:r>
        <w:t>Equality and diversity</w:t>
      </w:r>
      <w:bookmarkEnd w:id="9"/>
    </w:p>
    <w:p w14:paraId="37491E89" w14:textId="5ADCD7D0" w:rsidR="0050445A" w:rsidRDefault="0050445A" w:rsidP="003C4B16">
      <w:pPr>
        <w:pStyle w:val="ListParagraph"/>
        <w:numPr>
          <w:ilvl w:val="1"/>
          <w:numId w:val="1"/>
        </w:numPr>
        <w:tabs>
          <w:tab w:val="left" w:pos="851"/>
        </w:tabs>
        <w:jc w:val="both"/>
      </w:pPr>
      <w:r>
        <w:t>We have a responsibility to serve the needs and promote the interest of all staff and residents. We will provide an equal service in accordance with the Equality Act 2010.</w:t>
      </w:r>
    </w:p>
    <w:p w14:paraId="2FEB60D6" w14:textId="0ABC44BC" w:rsidR="0050445A" w:rsidRDefault="0050445A" w:rsidP="003C4B16">
      <w:pPr>
        <w:pStyle w:val="ListParagraph"/>
        <w:numPr>
          <w:ilvl w:val="1"/>
          <w:numId w:val="1"/>
        </w:numPr>
        <w:tabs>
          <w:tab w:val="left" w:pos="851"/>
        </w:tabs>
        <w:jc w:val="both"/>
      </w:pPr>
      <w:r>
        <w:t>Action will be taken against any contractor who is found to have behaved in a discriminatory way.</w:t>
      </w:r>
    </w:p>
    <w:p w14:paraId="34B7A1D3" w14:textId="5C0614FA" w:rsidR="0050445A" w:rsidRDefault="0050445A" w:rsidP="003C4B16">
      <w:pPr>
        <w:pStyle w:val="Heading1"/>
        <w:numPr>
          <w:ilvl w:val="0"/>
          <w:numId w:val="1"/>
        </w:numPr>
        <w:jc w:val="both"/>
      </w:pPr>
      <w:bookmarkStart w:id="10" w:name="_Toc200007150"/>
      <w:r>
        <w:t>Residents’ rights and responsibilities</w:t>
      </w:r>
      <w:bookmarkEnd w:id="10"/>
    </w:p>
    <w:p w14:paraId="27BD447C" w14:textId="3C21FE0A" w:rsidR="0050445A" w:rsidRDefault="0050445A" w:rsidP="003C4B16">
      <w:pPr>
        <w:pStyle w:val="ListParagraph"/>
        <w:numPr>
          <w:ilvl w:val="1"/>
          <w:numId w:val="1"/>
        </w:numPr>
        <w:tabs>
          <w:tab w:val="left" w:pos="851"/>
        </w:tabs>
        <w:jc w:val="both"/>
      </w:pPr>
      <w:r>
        <w:t>We will maintain and publish our policies and set out residents’ rights and responsibilities in our tenancy agreement and supporting documentation.</w:t>
      </w:r>
    </w:p>
    <w:p w14:paraId="22F9085D" w14:textId="14973A27" w:rsidR="0050445A" w:rsidRDefault="0050445A" w:rsidP="003C4B16">
      <w:pPr>
        <w:pStyle w:val="Heading1"/>
        <w:numPr>
          <w:ilvl w:val="0"/>
          <w:numId w:val="1"/>
        </w:numPr>
        <w:jc w:val="both"/>
      </w:pPr>
      <w:bookmarkStart w:id="11" w:name="_Toc200007151"/>
      <w:r>
        <w:t>Performance monitoring</w:t>
      </w:r>
      <w:bookmarkEnd w:id="11"/>
    </w:p>
    <w:p w14:paraId="33311AD0" w14:textId="48522115" w:rsidR="0050445A" w:rsidRDefault="0050445A" w:rsidP="003C4B16">
      <w:pPr>
        <w:pStyle w:val="ListParagraph"/>
        <w:numPr>
          <w:ilvl w:val="1"/>
          <w:numId w:val="1"/>
        </w:numPr>
        <w:tabs>
          <w:tab w:val="left" w:pos="851"/>
        </w:tabs>
        <w:jc w:val="both"/>
      </w:pPr>
      <w:r>
        <w:t xml:space="preserve">We will monitor our compliance with the terms of this Policy through regular reports to the </w:t>
      </w:r>
      <w:r w:rsidR="003C4B16">
        <w:t>Committee</w:t>
      </w:r>
      <w:r>
        <w:t>.</w:t>
      </w:r>
    </w:p>
    <w:p w14:paraId="7DDE5A40" w14:textId="48AA411A" w:rsidR="0050445A" w:rsidRDefault="0050445A" w:rsidP="003C4B16">
      <w:pPr>
        <w:pStyle w:val="Heading1"/>
        <w:numPr>
          <w:ilvl w:val="0"/>
          <w:numId w:val="1"/>
        </w:numPr>
        <w:jc w:val="both"/>
      </w:pPr>
      <w:bookmarkStart w:id="12" w:name="_Toc200007152"/>
      <w:r>
        <w:t>Consultation arrangements</w:t>
      </w:r>
      <w:bookmarkEnd w:id="12"/>
    </w:p>
    <w:p w14:paraId="5FE6A2DC" w14:textId="09A7B46D" w:rsidR="0050445A" w:rsidRDefault="0050445A" w:rsidP="003C4B16">
      <w:pPr>
        <w:pStyle w:val="ListParagraph"/>
        <w:numPr>
          <w:ilvl w:val="1"/>
          <w:numId w:val="1"/>
        </w:numPr>
        <w:tabs>
          <w:tab w:val="left" w:pos="1134"/>
        </w:tabs>
        <w:jc w:val="both"/>
      </w:pPr>
      <w:r>
        <w:t xml:space="preserve">We will consult all residents and recognised residents’ bodies on significant changes to this Policy and their views will be </w:t>
      </w:r>
      <w:r w:rsidR="003C4B16">
        <w:t>considered</w:t>
      </w:r>
      <w:r>
        <w:t xml:space="preserve"> by the </w:t>
      </w:r>
      <w:r w:rsidR="003C4B16">
        <w:t xml:space="preserve">Committee </w:t>
      </w:r>
      <w:r>
        <w:t>before approving it.</w:t>
      </w:r>
    </w:p>
    <w:p w14:paraId="2662C1F6" w14:textId="72CD0F6C" w:rsidR="0050445A" w:rsidRDefault="0050445A" w:rsidP="003C4B16">
      <w:pPr>
        <w:jc w:val="both"/>
      </w:pPr>
    </w:p>
    <w:sectPr w:rsidR="0050445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01788" w14:textId="77777777" w:rsidR="000D327F" w:rsidRDefault="000D327F" w:rsidP="00B77220">
      <w:r>
        <w:separator/>
      </w:r>
    </w:p>
  </w:endnote>
  <w:endnote w:type="continuationSeparator" w:id="0">
    <w:p w14:paraId="5F2D9FA8" w14:textId="77777777" w:rsidR="000D327F" w:rsidRDefault="000D327F" w:rsidP="00B77220">
      <w:r>
        <w:continuationSeparator/>
      </w:r>
    </w:p>
  </w:endnote>
  <w:endnote w:type="continuationNotice" w:id="1">
    <w:p w14:paraId="28EEAC7A" w14:textId="77777777" w:rsidR="000D327F" w:rsidRDefault="000D32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504414"/>
      <w:docPartObj>
        <w:docPartGallery w:val="Page Numbers (Bottom of Page)"/>
        <w:docPartUnique/>
      </w:docPartObj>
    </w:sdtPr>
    <w:sdtEndPr/>
    <w:sdtContent>
      <w:sdt>
        <w:sdtPr>
          <w:id w:val="1728636285"/>
          <w:docPartObj>
            <w:docPartGallery w:val="Page Numbers (Top of Page)"/>
            <w:docPartUnique/>
          </w:docPartObj>
        </w:sdtPr>
        <w:sdtEndPr/>
        <w:sdtContent>
          <w:p w14:paraId="22E4C547" w14:textId="525BFF3D" w:rsidR="002747BE" w:rsidRDefault="002747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6C43A0" w14:textId="77777777" w:rsidR="002747BE" w:rsidRDefault="00274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AD1E2" w14:textId="77777777" w:rsidR="000D327F" w:rsidRDefault="000D327F" w:rsidP="00B77220">
      <w:r>
        <w:separator/>
      </w:r>
    </w:p>
  </w:footnote>
  <w:footnote w:type="continuationSeparator" w:id="0">
    <w:p w14:paraId="187C091B" w14:textId="77777777" w:rsidR="000D327F" w:rsidRDefault="000D327F" w:rsidP="00B77220">
      <w:r>
        <w:continuationSeparator/>
      </w:r>
    </w:p>
  </w:footnote>
  <w:footnote w:type="continuationNotice" w:id="1">
    <w:p w14:paraId="6E952171" w14:textId="77777777" w:rsidR="000D327F" w:rsidRDefault="000D32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F8EF1" w14:textId="5323800A" w:rsidR="0050445A" w:rsidRDefault="0050445A" w:rsidP="00B77220">
    <w:pPr>
      <w:pStyle w:val="Header"/>
    </w:pPr>
  </w:p>
  <w:p w14:paraId="2CE9F533" w14:textId="231F191E" w:rsidR="0050445A" w:rsidRDefault="0050445A" w:rsidP="00B77220">
    <w:pPr>
      <w:pStyle w:val="Header"/>
    </w:pPr>
    <w:r w:rsidRPr="0059526E">
      <w:rPr>
        <w:noProof/>
      </w:rPr>
      <w:drawing>
        <wp:anchor distT="0" distB="0" distL="114300" distR="114300" simplePos="0" relativeHeight="251658240" behindDoc="0" locked="0" layoutInCell="1" allowOverlap="1" wp14:anchorId="7B135289" wp14:editId="4A06EC1B">
          <wp:simplePos x="0" y="0"/>
          <wp:positionH relativeFrom="page">
            <wp:posOffset>-7315</wp:posOffset>
          </wp:positionH>
          <wp:positionV relativeFrom="topMargin">
            <wp:posOffset>14630</wp:posOffset>
          </wp:positionV>
          <wp:extent cx="7550747" cy="1398905"/>
          <wp:effectExtent l="0" t="0" r="0" b="0"/>
          <wp:wrapSquare wrapText="bothSides"/>
          <wp:docPr id="1" name="Picture 1" descr="A green and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background"/>
                  <pic:cNvPicPr/>
                </pic:nvPicPr>
                <pic:blipFill>
                  <a:blip r:embed="rId1">
                    <a:extLst>
                      <a:ext uri="{28A0092B-C50C-407E-A947-70E740481C1C}">
                        <a14:useLocalDpi xmlns:a14="http://schemas.microsoft.com/office/drawing/2010/main" val="0"/>
                      </a:ext>
                    </a:extLst>
                  </a:blip>
                  <a:stretch>
                    <a:fillRect/>
                  </a:stretch>
                </pic:blipFill>
                <pic:spPr>
                  <a:xfrm>
                    <a:off x="0" y="0"/>
                    <a:ext cx="7551344" cy="139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5222C"/>
    <w:multiLevelType w:val="hybridMultilevel"/>
    <w:tmpl w:val="4D563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07069"/>
    <w:multiLevelType w:val="hybridMultilevel"/>
    <w:tmpl w:val="65F83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24075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C2952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BF200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8CB0766"/>
    <w:multiLevelType w:val="hybridMultilevel"/>
    <w:tmpl w:val="E2B4D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DF1AC0"/>
    <w:multiLevelType w:val="hybridMultilevel"/>
    <w:tmpl w:val="BD48F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295C29"/>
    <w:multiLevelType w:val="hybridMultilevel"/>
    <w:tmpl w:val="A13E5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8589911">
    <w:abstractNumId w:val="3"/>
  </w:num>
  <w:num w:numId="2" w16cid:durableId="2056275249">
    <w:abstractNumId w:val="2"/>
  </w:num>
  <w:num w:numId="3" w16cid:durableId="578295693">
    <w:abstractNumId w:val="4"/>
  </w:num>
  <w:num w:numId="4" w16cid:durableId="489055946">
    <w:abstractNumId w:val="0"/>
  </w:num>
  <w:num w:numId="5" w16cid:durableId="1747457680">
    <w:abstractNumId w:val="7"/>
  </w:num>
  <w:num w:numId="6" w16cid:durableId="468206886">
    <w:abstractNumId w:val="1"/>
  </w:num>
  <w:num w:numId="7" w16cid:durableId="122700919">
    <w:abstractNumId w:val="6"/>
  </w:num>
  <w:num w:numId="8" w16cid:durableId="1014112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5A"/>
    <w:rsid w:val="0002099F"/>
    <w:rsid w:val="000226BA"/>
    <w:rsid w:val="00032B79"/>
    <w:rsid w:val="00034052"/>
    <w:rsid w:val="00043B81"/>
    <w:rsid w:val="000554B5"/>
    <w:rsid w:val="00070BDA"/>
    <w:rsid w:val="0007373F"/>
    <w:rsid w:val="00075C9C"/>
    <w:rsid w:val="00084B2F"/>
    <w:rsid w:val="00090B4C"/>
    <w:rsid w:val="000D327F"/>
    <w:rsid w:val="000F4755"/>
    <w:rsid w:val="000F5813"/>
    <w:rsid w:val="00110BC3"/>
    <w:rsid w:val="00114C1F"/>
    <w:rsid w:val="00126D77"/>
    <w:rsid w:val="00171807"/>
    <w:rsid w:val="00172866"/>
    <w:rsid w:val="00177862"/>
    <w:rsid w:val="001B75AA"/>
    <w:rsid w:val="001C6515"/>
    <w:rsid w:val="00211C5D"/>
    <w:rsid w:val="0021431F"/>
    <w:rsid w:val="00217AA6"/>
    <w:rsid w:val="002368D2"/>
    <w:rsid w:val="00251176"/>
    <w:rsid w:val="002747BE"/>
    <w:rsid w:val="00283E9F"/>
    <w:rsid w:val="002878AE"/>
    <w:rsid w:val="00290021"/>
    <w:rsid w:val="002A25D4"/>
    <w:rsid w:val="002A7366"/>
    <w:rsid w:val="002B1A9C"/>
    <w:rsid w:val="002B33B4"/>
    <w:rsid w:val="002D0E85"/>
    <w:rsid w:val="002D3C99"/>
    <w:rsid w:val="002D720D"/>
    <w:rsid w:val="002E2DC0"/>
    <w:rsid w:val="002F6213"/>
    <w:rsid w:val="00301AA7"/>
    <w:rsid w:val="003220F5"/>
    <w:rsid w:val="00350870"/>
    <w:rsid w:val="00352C50"/>
    <w:rsid w:val="00360BF4"/>
    <w:rsid w:val="00360FB3"/>
    <w:rsid w:val="00362B0A"/>
    <w:rsid w:val="00363012"/>
    <w:rsid w:val="00367266"/>
    <w:rsid w:val="00372661"/>
    <w:rsid w:val="00374528"/>
    <w:rsid w:val="003915B9"/>
    <w:rsid w:val="003C03A6"/>
    <w:rsid w:val="003C4B16"/>
    <w:rsid w:val="003F2423"/>
    <w:rsid w:val="003F65FF"/>
    <w:rsid w:val="00443C2B"/>
    <w:rsid w:val="004628A3"/>
    <w:rsid w:val="00496737"/>
    <w:rsid w:val="004A10E7"/>
    <w:rsid w:val="004B021C"/>
    <w:rsid w:val="004E7BCD"/>
    <w:rsid w:val="0050445A"/>
    <w:rsid w:val="00540509"/>
    <w:rsid w:val="00543EF3"/>
    <w:rsid w:val="00554BA7"/>
    <w:rsid w:val="00562548"/>
    <w:rsid w:val="005648E1"/>
    <w:rsid w:val="0056507E"/>
    <w:rsid w:val="00576794"/>
    <w:rsid w:val="0058478D"/>
    <w:rsid w:val="005961FF"/>
    <w:rsid w:val="005A7CE6"/>
    <w:rsid w:val="005C2C5E"/>
    <w:rsid w:val="005D5E25"/>
    <w:rsid w:val="005E7A43"/>
    <w:rsid w:val="005F318F"/>
    <w:rsid w:val="005F5231"/>
    <w:rsid w:val="005F5F84"/>
    <w:rsid w:val="00654979"/>
    <w:rsid w:val="00657402"/>
    <w:rsid w:val="00660636"/>
    <w:rsid w:val="00676C7C"/>
    <w:rsid w:val="00691EF2"/>
    <w:rsid w:val="006B752E"/>
    <w:rsid w:val="006D7BE3"/>
    <w:rsid w:val="006E1898"/>
    <w:rsid w:val="006E6B59"/>
    <w:rsid w:val="006F3ABF"/>
    <w:rsid w:val="006F4012"/>
    <w:rsid w:val="006F7A6C"/>
    <w:rsid w:val="00713470"/>
    <w:rsid w:val="00723346"/>
    <w:rsid w:val="00731C71"/>
    <w:rsid w:val="007402D8"/>
    <w:rsid w:val="00770AD8"/>
    <w:rsid w:val="00773903"/>
    <w:rsid w:val="007808EA"/>
    <w:rsid w:val="007839A1"/>
    <w:rsid w:val="007D183A"/>
    <w:rsid w:val="007D4F26"/>
    <w:rsid w:val="007E5343"/>
    <w:rsid w:val="008002A5"/>
    <w:rsid w:val="00801084"/>
    <w:rsid w:val="008042B3"/>
    <w:rsid w:val="00842A3D"/>
    <w:rsid w:val="00896C41"/>
    <w:rsid w:val="0089769E"/>
    <w:rsid w:val="008B1A18"/>
    <w:rsid w:val="008C6232"/>
    <w:rsid w:val="008E5BDE"/>
    <w:rsid w:val="00914921"/>
    <w:rsid w:val="00947E0A"/>
    <w:rsid w:val="009A6B52"/>
    <w:rsid w:val="009B65E5"/>
    <w:rsid w:val="009D5648"/>
    <w:rsid w:val="009E26AA"/>
    <w:rsid w:val="009F156C"/>
    <w:rsid w:val="009F4AE3"/>
    <w:rsid w:val="009F7354"/>
    <w:rsid w:val="00A10713"/>
    <w:rsid w:val="00A24995"/>
    <w:rsid w:val="00A40DDF"/>
    <w:rsid w:val="00A47550"/>
    <w:rsid w:val="00A52173"/>
    <w:rsid w:val="00A61EDA"/>
    <w:rsid w:val="00A72BA8"/>
    <w:rsid w:val="00A8172C"/>
    <w:rsid w:val="00A84D2D"/>
    <w:rsid w:val="00A95921"/>
    <w:rsid w:val="00AA37B9"/>
    <w:rsid w:val="00AC00D2"/>
    <w:rsid w:val="00AD2CBE"/>
    <w:rsid w:val="00AD51CA"/>
    <w:rsid w:val="00AE105C"/>
    <w:rsid w:val="00AF6CF7"/>
    <w:rsid w:val="00B11AF8"/>
    <w:rsid w:val="00B13E31"/>
    <w:rsid w:val="00B253AD"/>
    <w:rsid w:val="00B34817"/>
    <w:rsid w:val="00B353BB"/>
    <w:rsid w:val="00B422FD"/>
    <w:rsid w:val="00B6368A"/>
    <w:rsid w:val="00B74B69"/>
    <w:rsid w:val="00B77220"/>
    <w:rsid w:val="00B77B41"/>
    <w:rsid w:val="00B8661D"/>
    <w:rsid w:val="00BC0D95"/>
    <w:rsid w:val="00C13798"/>
    <w:rsid w:val="00C2256D"/>
    <w:rsid w:val="00C4293D"/>
    <w:rsid w:val="00C62C21"/>
    <w:rsid w:val="00C66FE0"/>
    <w:rsid w:val="00C82DC1"/>
    <w:rsid w:val="00C97659"/>
    <w:rsid w:val="00CA0888"/>
    <w:rsid w:val="00CA5288"/>
    <w:rsid w:val="00CB621F"/>
    <w:rsid w:val="00CD1AB4"/>
    <w:rsid w:val="00CD2E98"/>
    <w:rsid w:val="00CE34C6"/>
    <w:rsid w:val="00D31830"/>
    <w:rsid w:val="00D474A7"/>
    <w:rsid w:val="00D503AD"/>
    <w:rsid w:val="00D62D5F"/>
    <w:rsid w:val="00D7018E"/>
    <w:rsid w:val="00D74695"/>
    <w:rsid w:val="00D76C7E"/>
    <w:rsid w:val="00DC084B"/>
    <w:rsid w:val="00DC715D"/>
    <w:rsid w:val="00DD00E3"/>
    <w:rsid w:val="00E01CF3"/>
    <w:rsid w:val="00E067F9"/>
    <w:rsid w:val="00E5586E"/>
    <w:rsid w:val="00E56B95"/>
    <w:rsid w:val="00E63C72"/>
    <w:rsid w:val="00EA2353"/>
    <w:rsid w:val="00EA4272"/>
    <w:rsid w:val="00EE51C7"/>
    <w:rsid w:val="00EE78E5"/>
    <w:rsid w:val="00F000B3"/>
    <w:rsid w:val="00F03720"/>
    <w:rsid w:val="00F756DF"/>
    <w:rsid w:val="00F75888"/>
    <w:rsid w:val="00FA1417"/>
    <w:rsid w:val="00FB1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3F4F"/>
  <w15:chartTrackingRefBased/>
  <w15:docId w15:val="{1AA3462B-65F6-41E0-8B82-97DFF342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20"/>
  </w:style>
  <w:style w:type="paragraph" w:styleId="Heading1">
    <w:name w:val="heading 1"/>
    <w:basedOn w:val="Normal"/>
    <w:next w:val="Normal"/>
    <w:link w:val="Heading1Char"/>
    <w:uiPriority w:val="9"/>
    <w:qFormat/>
    <w:rsid w:val="00B77220"/>
    <w:pPr>
      <w:keepNext/>
      <w:keepLines/>
      <w:spacing w:before="360" w:after="80"/>
      <w:outlineLvl w:val="0"/>
    </w:pPr>
    <w:rPr>
      <w:rFonts w:ascii="Calibri" w:eastAsiaTheme="majorEastAsia" w:hAnsi="Calibri" w:cstheme="majorBidi"/>
      <w:b/>
      <w:sz w:val="32"/>
      <w:szCs w:val="40"/>
    </w:rPr>
  </w:style>
  <w:style w:type="paragraph" w:styleId="Heading2">
    <w:name w:val="heading 2"/>
    <w:basedOn w:val="Normal"/>
    <w:next w:val="Normal"/>
    <w:link w:val="Heading2Char"/>
    <w:uiPriority w:val="9"/>
    <w:unhideWhenUsed/>
    <w:qFormat/>
    <w:rsid w:val="00B77220"/>
    <w:pPr>
      <w:keepNext/>
      <w:keepLines/>
      <w:spacing w:before="160" w:after="80"/>
      <w:outlineLvl w:val="1"/>
    </w:pPr>
    <w:rPr>
      <w:rFonts w:ascii="Calibri" w:eastAsiaTheme="majorEastAsia" w:hAnsi="Calibri" w:cstheme="majorBidi"/>
      <w:szCs w:val="32"/>
    </w:rPr>
  </w:style>
  <w:style w:type="paragraph" w:styleId="Heading3">
    <w:name w:val="heading 3"/>
    <w:basedOn w:val="Normal"/>
    <w:next w:val="Normal"/>
    <w:link w:val="Heading3Char"/>
    <w:uiPriority w:val="9"/>
    <w:semiHidden/>
    <w:unhideWhenUsed/>
    <w:qFormat/>
    <w:rsid w:val="005044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4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4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4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4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4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4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220"/>
    <w:rPr>
      <w:rFonts w:ascii="Calibri" w:eastAsiaTheme="majorEastAsia" w:hAnsi="Calibri" w:cstheme="majorBidi"/>
      <w:b/>
      <w:sz w:val="32"/>
      <w:szCs w:val="40"/>
    </w:rPr>
  </w:style>
  <w:style w:type="character" w:customStyle="1" w:styleId="Heading2Char">
    <w:name w:val="Heading 2 Char"/>
    <w:basedOn w:val="DefaultParagraphFont"/>
    <w:link w:val="Heading2"/>
    <w:uiPriority w:val="9"/>
    <w:rsid w:val="00B77220"/>
    <w:rPr>
      <w:rFonts w:ascii="Calibri" w:eastAsiaTheme="majorEastAsia" w:hAnsi="Calibri" w:cstheme="majorBidi"/>
      <w:szCs w:val="32"/>
    </w:rPr>
  </w:style>
  <w:style w:type="character" w:customStyle="1" w:styleId="Heading3Char">
    <w:name w:val="Heading 3 Char"/>
    <w:basedOn w:val="DefaultParagraphFont"/>
    <w:link w:val="Heading3"/>
    <w:uiPriority w:val="9"/>
    <w:semiHidden/>
    <w:rsid w:val="005044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4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4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4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4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4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45A"/>
    <w:rPr>
      <w:rFonts w:eastAsiaTheme="majorEastAsia" w:cstheme="majorBidi"/>
      <w:color w:val="272727" w:themeColor="text1" w:themeTint="D8"/>
    </w:rPr>
  </w:style>
  <w:style w:type="paragraph" w:styleId="Title">
    <w:name w:val="Title"/>
    <w:basedOn w:val="Normal"/>
    <w:next w:val="Normal"/>
    <w:link w:val="TitleChar"/>
    <w:uiPriority w:val="10"/>
    <w:qFormat/>
    <w:rsid w:val="00504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4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4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4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45A"/>
    <w:pPr>
      <w:spacing w:before="160"/>
      <w:jc w:val="center"/>
    </w:pPr>
    <w:rPr>
      <w:i/>
      <w:iCs/>
      <w:color w:val="404040" w:themeColor="text1" w:themeTint="BF"/>
    </w:rPr>
  </w:style>
  <w:style w:type="character" w:customStyle="1" w:styleId="QuoteChar">
    <w:name w:val="Quote Char"/>
    <w:basedOn w:val="DefaultParagraphFont"/>
    <w:link w:val="Quote"/>
    <w:uiPriority w:val="29"/>
    <w:rsid w:val="0050445A"/>
    <w:rPr>
      <w:i/>
      <w:iCs/>
      <w:color w:val="404040" w:themeColor="text1" w:themeTint="BF"/>
    </w:rPr>
  </w:style>
  <w:style w:type="paragraph" w:styleId="ListParagraph">
    <w:name w:val="List Paragraph"/>
    <w:basedOn w:val="Normal"/>
    <w:uiPriority w:val="34"/>
    <w:qFormat/>
    <w:rsid w:val="0050445A"/>
    <w:pPr>
      <w:ind w:left="720"/>
      <w:contextualSpacing/>
    </w:pPr>
  </w:style>
  <w:style w:type="character" w:styleId="IntenseEmphasis">
    <w:name w:val="Intense Emphasis"/>
    <w:basedOn w:val="DefaultParagraphFont"/>
    <w:uiPriority w:val="21"/>
    <w:qFormat/>
    <w:rsid w:val="0050445A"/>
    <w:rPr>
      <w:i/>
      <w:iCs/>
      <w:color w:val="0F4761" w:themeColor="accent1" w:themeShade="BF"/>
    </w:rPr>
  </w:style>
  <w:style w:type="paragraph" w:styleId="IntenseQuote">
    <w:name w:val="Intense Quote"/>
    <w:basedOn w:val="Normal"/>
    <w:next w:val="Normal"/>
    <w:link w:val="IntenseQuoteChar"/>
    <w:uiPriority w:val="30"/>
    <w:qFormat/>
    <w:rsid w:val="00504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45A"/>
    <w:rPr>
      <w:i/>
      <w:iCs/>
      <w:color w:val="0F4761" w:themeColor="accent1" w:themeShade="BF"/>
    </w:rPr>
  </w:style>
  <w:style w:type="character" w:styleId="IntenseReference">
    <w:name w:val="Intense Reference"/>
    <w:basedOn w:val="DefaultParagraphFont"/>
    <w:uiPriority w:val="32"/>
    <w:qFormat/>
    <w:rsid w:val="0050445A"/>
    <w:rPr>
      <w:b/>
      <w:bCs/>
      <w:smallCaps/>
      <w:color w:val="0F4761" w:themeColor="accent1" w:themeShade="BF"/>
      <w:spacing w:val="5"/>
    </w:rPr>
  </w:style>
  <w:style w:type="paragraph" w:styleId="Header">
    <w:name w:val="header"/>
    <w:basedOn w:val="Normal"/>
    <w:link w:val="HeaderChar"/>
    <w:uiPriority w:val="99"/>
    <w:unhideWhenUsed/>
    <w:rsid w:val="0050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45A"/>
  </w:style>
  <w:style w:type="paragraph" w:styleId="Footer">
    <w:name w:val="footer"/>
    <w:basedOn w:val="Normal"/>
    <w:link w:val="FooterChar"/>
    <w:uiPriority w:val="99"/>
    <w:unhideWhenUsed/>
    <w:rsid w:val="0050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45A"/>
  </w:style>
  <w:style w:type="paragraph" w:styleId="TOCHeading">
    <w:name w:val="TOC Heading"/>
    <w:basedOn w:val="Heading1"/>
    <w:next w:val="Normal"/>
    <w:uiPriority w:val="39"/>
    <w:unhideWhenUsed/>
    <w:qFormat/>
    <w:rsid w:val="00DC084B"/>
    <w:pPr>
      <w:spacing w:before="240" w:after="0"/>
      <w:outlineLvl w:val="9"/>
    </w:pPr>
    <w:rPr>
      <w:rFonts w:asciiTheme="majorHAnsi" w:hAnsiTheme="majorHAnsi"/>
      <w:b w:val="0"/>
      <w:color w:val="0F4761" w:themeColor="accent1" w:themeShade="BF"/>
      <w:kern w:val="0"/>
      <w:szCs w:val="32"/>
      <w:lang w:val="en-US"/>
      <w14:ligatures w14:val="none"/>
    </w:rPr>
  </w:style>
  <w:style w:type="paragraph" w:styleId="TOC1">
    <w:name w:val="toc 1"/>
    <w:basedOn w:val="Normal"/>
    <w:next w:val="Normal"/>
    <w:autoRedefine/>
    <w:uiPriority w:val="39"/>
    <w:unhideWhenUsed/>
    <w:rsid w:val="00DC084B"/>
    <w:pPr>
      <w:spacing w:after="100"/>
    </w:pPr>
  </w:style>
  <w:style w:type="character" w:styleId="Hyperlink">
    <w:name w:val="Hyperlink"/>
    <w:basedOn w:val="DefaultParagraphFont"/>
    <w:uiPriority w:val="99"/>
    <w:unhideWhenUsed/>
    <w:rsid w:val="00DC084B"/>
    <w:rPr>
      <w:color w:val="467886" w:themeColor="hyperlink"/>
      <w:u w:val="single"/>
    </w:rPr>
  </w:style>
  <w:style w:type="paragraph" w:styleId="NoSpacing">
    <w:name w:val="No Spacing"/>
    <w:uiPriority w:val="1"/>
    <w:qFormat/>
    <w:rsid w:val="00B77220"/>
    <w:pPr>
      <w:spacing w:after="0" w:line="240" w:lineRule="auto"/>
    </w:pPr>
  </w:style>
  <w:style w:type="paragraph" w:styleId="TOC2">
    <w:name w:val="toc 2"/>
    <w:basedOn w:val="Normal"/>
    <w:next w:val="Normal"/>
    <w:autoRedefine/>
    <w:uiPriority w:val="39"/>
    <w:unhideWhenUsed/>
    <w:rsid w:val="002A25D4"/>
    <w:pPr>
      <w:spacing w:after="100"/>
      <w:ind w:left="220"/>
    </w:pPr>
  </w:style>
  <w:style w:type="character" w:styleId="UnresolvedMention">
    <w:name w:val="Unresolved Mention"/>
    <w:basedOn w:val="DefaultParagraphFont"/>
    <w:uiPriority w:val="99"/>
    <w:semiHidden/>
    <w:unhideWhenUsed/>
    <w:rsid w:val="00D70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4E44E-8172-4ACC-807E-4F1F9132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5</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Links>
    <vt:vector size="96" baseType="variant">
      <vt:variant>
        <vt:i4>2556010</vt:i4>
      </vt:variant>
      <vt:variant>
        <vt:i4>90</vt:i4>
      </vt:variant>
      <vt:variant>
        <vt:i4>0</vt:i4>
      </vt:variant>
      <vt:variant>
        <vt:i4>5</vt:i4>
      </vt:variant>
      <vt:variant>
        <vt:lpwstr>http://www.christchurch-h-s.co.uk/</vt:lpwstr>
      </vt:variant>
      <vt:variant>
        <vt:lpwstr/>
      </vt:variant>
      <vt:variant>
        <vt:i4>6029373</vt:i4>
      </vt:variant>
      <vt:variant>
        <vt:i4>87</vt:i4>
      </vt:variant>
      <vt:variant>
        <vt:i4>0</vt:i4>
      </vt:variant>
      <vt:variant>
        <vt:i4>5</vt:i4>
      </vt:variant>
      <vt:variant>
        <vt:lpwstr>mailto:info@xhs.org.uk</vt:lpwstr>
      </vt:variant>
      <vt:variant>
        <vt:lpwstr/>
      </vt:variant>
      <vt:variant>
        <vt:i4>1441846</vt:i4>
      </vt:variant>
      <vt:variant>
        <vt:i4>80</vt:i4>
      </vt:variant>
      <vt:variant>
        <vt:i4>0</vt:i4>
      </vt:variant>
      <vt:variant>
        <vt:i4>5</vt:i4>
      </vt:variant>
      <vt:variant>
        <vt:lpwstr/>
      </vt:variant>
      <vt:variant>
        <vt:lpwstr>_Toc187329236</vt:lpwstr>
      </vt:variant>
      <vt:variant>
        <vt:i4>1441846</vt:i4>
      </vt:variant>
      <vt:variant>
        <vt:i4>74</vt:i4>
      </vt:variant>
      <vt:variant>
        <vt:i4>0</vt:i4>
      </vt:variant>
      <vt:variant>
        <vt:i4>5</vt:i4>
      </vt:variant>
      <vt:variant>
        <vt:lpwstr/>
      </vt:variant>
      <vt:variant>
        <vt:lpwstr>_Toc187329235</vt:lpwstr>
      </vt:variant>
      <vt:variant>
        <vt:i4>1441846</vt:i4>
      </vt:variant>
      <vt:variant>
        <vt:i4>68</vt:i4>
      </vt:variant>
      <vt:variant>
        <vt:i4>0</vt:i4>
      </vt:variant>
      <vt:variant>
        <vt:i4>5</vt:i4>
      </vt:variant>
      <vt:variant>
        <vt:lpwstr/>
      </vt:variant>
      <vt:variant>
        <vt:lpwstr>_Toc187329234</vt:lpwstr>
      </vt:variant>
      <vt:variant>
        <vt:i4>1441846</vt:i4>
      </vt:variant>
      <vt:variant>
        <vt:i4>62</vt:i4>
      </vt:variant>
      <vt:variant>
        <vt:i4>0</vt:i4>
      </vt:variant>
      <vt:variant>
        <vt:i4>5</vt:i4>
      </vt:variant>
      <vt:variant>
        <vt:lpwstr/>
      </vt:variant>
      <vt:variant>
        <vt:lpwstr>_Toc187329233</vt:lpwstr>
      </vt:variant>
      <vt:variant>
        <vt:i4>1441846</vt:i4>
      </vt:variant>
      <vt:variant>
        <vt:i4>56</vt:i4>
      </vt:variant>
      <vt:variant>
        <vt:i4>0</vt:i4>
      </vt:variant>
      <vt:variant>
        <vt:i4>5</vt:i4>
      </vt:variant>
      <vt:variant>
        <vt:lpwstr/>
      </vt:variant>
      <vt:variant>
        <vt:lpwstr>_Toc187329232</vt:lpwstr>
      </vt:variant>
      <vt:variant>
        <vt:i4>1441846</vt:i4>
      </vt:variant>
      <vt:variant>
        <vt:i4>50</vt:i4>
      </vt:variant>
      <vt:variant>
        <vt:i4>0</vt:i4>
      </vt:variant>
      <vt:variant>
        <vt:i4>5</vt:i4>
      </vt:variant>
      <vt:variant>
        <vt:lpwstr/>
      </vt:variant>
      <vt:variant>
        <vt:lpwstr>_Toc187329231</vt:lpwstr>
      </vt:variant>
      <vt:variant>
        <vt:i4>1441846</vt:i4>
      </vt:variant>
      <vt:variant>
        <vt:i4>44</vt:i4>
      </vt:variant>
      <vt:variant>
        <vt:i4>0</vt:i4>
      </vt:variant>
      <vt:variant>
        <vt:i4>5</vt:i4>
      </vt:variant>
      <vt:variant>
        <vt:lpwstr/>
      </vt:variant>
      <vt:variant>
        <vt:lpwstr>_Toc187329230</vt:lpwstr>
      </vt:variant>
      <vt:variant>
        <vt:i4>1507382</vt:i4>
      </vt:variant>
      <vt:variant>
        <vt:i4>38</vt:i4>
      </vt:variant>
      <vt:variant>
        <vt:i4>0</vt:i4>
      </vt:variant>
      <vt:variant>
        <vt:i4>5</vt:i4>
      </vt:variant>
      <vt:variant>
        <vt:lpwstr/>
      </vt:variant>
      <vt:variant>
        <vt:lpwstr>_Toc187329229</vt:lpwstr>
      </vt:variant>
      <vt:variant>
        <vt:i4>1507382</vt:i4>
      </vt:variant>
      <vt:variant>
        <vt:i4>32</vt:i4>
      </vt:variant>
      <vt:variant>
        <vt:i4>0</vt:i4>
      </vt:variant>
      <vt:variant>
        <vt:i4>5</vt:i4>
      </vt:variant>
      <vt:variant>
        <vt:lpwstr/>
      </vt:variant>
      <vt:variant>
        <vt:lpwstr>_Toc187329228</vt:lpwstr>
      </vt:variant>
      <vt:variant>
        <vt:i4>1507382</vt:i4>
      </vt:variant>
      <vt:variant>
        <vt:i4>26</vt:i4>
      </vt:variant>
      <vt:variant>
        <vt:i4>0</vt:i4>
      </vt:variant>
      <vt:variant>
        <vt:i4>5</vt:i4>
      </vt:variant>
      <vt:variant>
        <vt:lpwstr/>
      </vt:variant>
      <vt:variant>
        <vt:lpwstr>_Toc187329227</vt:lpwstr>
      </vt:variant>
      <vt:variant>
        <vt:i4>1507382</vt:i4>
      </vt:variant>
      <vt:variant>
        <vt:i4>20</vt:i4>
      </vt:variant>
      <vt:variant>
        <vt:i4>0</vt:i4>
      </vt:variant>
      <vt:variant>
        <vt:i4>5</vt:i4>
      </vt:variant>
      <vt:variant>
        <vt:lpwstr/>
      </vt:variant>
      <vt:variant>
        <vt:lpwstr>_Toc187329226</vt:lpwstr>
      </vt:variant>
      <vt:variant>
        <vt:i4>1507382</vt:i4>
      </vt:variant>
      <vt:variant>
        <vt:i4>14</vt:i4>
      </vt:variant>
      <vt:variant>
        <vt:i4>0</vt:i4>
      </vt:variant>
      <vt:variant>
        <vt:i4>5</vt:i4>
      </vt:variant>
      <vt:variant>
        <vt:lpwstr/>
      </vt:variant>
      <vt:variant>
        <vt:lpwstr>_Toc187329225</vt:lpwstr>
      </vt:variant>
      <vt:variant>
        <vt:i4>1507382</vt:i4>
      </vt:variant>
      <vt:variant>
        <vt:i4>8</vt:i4>
      </vt:variant>
      <vt:variant>
        <vt:i4>0</vt:i4>
      </vt:variant>
      <vt:variant>
        <vt:i4>5</vt:i4>
      </vt:variant>
      <vt:variant>
        <vt:lpwstr/>
      </vt:variant>
      <vt:variant>
        <vt:lpwstr>_Toc187329224</vt:lpwstr>
      </vt:variant>
      <vt:variant>
        <vt:i4>1507382</vt:i4>
      </vt:variant>
      <vt:variant>
        <vt:i4>2</vt:i4>
      </vt:variant>
      <vt:variant>
        <vt:i4>0</vt:i4>
      </vt:variant>
      <vt:variant>
        <vt:i4>5</vt:i4>
      </vt:variant>
      <vt:variant>
        <vt:lpwstr/>
      </vt:variant>
      <vt:variant>
        <vt:lpwstr>_Toc187329223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 Morris</dc:creator>
  <cp:keywords/>
  <dc:description/>
  <cp:lastModifiedBy>Bethany Hawkes</cp:lastModifiedBy>
  <cp:revision>148</cp:revision>
  <dcterms:created xsi:type="dcterms:W3CDTF">2025-01-06T23:18:00Z</dcterms:created>
  <dcterms:modified xsi:type="dcterms:W3CDTF">2025-06-05T08:12:00Z</dcterms:modified>
</cp:coreProperties>
</file>